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00" w:lineRule="exact"/>
        <w:ind w:firstLine="562" w:firstLineChars="200"/>
        <w:jc w:val="center"/>
        <w:rPr>
          <w:rFonts w:ascii="宋体" w:hAnsi="宋体"/>
          <w:sz w:val="28"/>
          <w:szCs w:val="28"/>
        </w:rPr>
      </w:pPr>
      <w:r>
        <w:rPr>
          <w:rFonts w:hint="eastAsia" w:ascii="宋体" w:hAnsi="宋体"/>
          <w:sz w:val="28"/>
          <w:szCs w:val="28"/>
        </w:rPr>
        <w:t>银行卡收单外包服务协议</w:t>
      </w:r>
    </w:p>
    <w:p/>
    <w:p>
      <w:pPr>
        <w:widowControl/>
        <w:spacing w:line="400" w:lineRule="exact"/>
        <w:rPr>
          <w:rFonts w:ascii="宋体" w:hAnsi="宋体" w:cs="宋体"/>
          <w:color w:val="000000"/>
          <w:kern w:val="0"/>
          <w:szCs w:val="21"/>
        </w:rPr>
      </w:pPr>
      <w:r>
        <w:rPr>
          <w:rFonts w:hint="eastAsia" w:ascii="宋体" w:hAnsi="宋体" w:cs="宋体"/>
          <w:color w:val="000000"/>
          <w:kern w:val="0"/>
          <w:szCs w:val="21"/>
        </w:rPr>
        <w:t>甲方(服务外包方)：_________________</w:t>
      </w:r>
      <w:r>
        <w:rPr>
          <w:rFonts w:hint="eastAsia" w:ascii="宋体" w:hAnsi="宋体" w:cs="宋体"/>
          <w:color w:val="000000"/>
          <w:kern w:val="0"/>
          <w:szCs w:val="21"/>
        </w:rPr>
        <w:br w:type="textWrapping"/>
      </w:r>
      <w:r>
        <w:rPr>
          <w:rFonts w:hint="eastAsia" w:ascii="宋体" w:hAnsi="宋体" w:cs="宋体"/>
          <w:color w:val="000000"/>
          <w:kern w:val="0"/>
          <w:szCs w:val="21"/>
        </w:rPr>
        <w:t>法定代表人：_______________________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地址：_____________________________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邮编：_____________________________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传真：_____________________________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联系人：___________________________</w:t>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联系电话：_________________________</w:t>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电子邮箱：_________________________</w:t>
      </w:r>
      <w:r>
        <w:rPr>
          <w:rFonts w:hint="eastAsia" w:ascii="宋体" w:hAnsi="宋体" w:cs="宋体"/>
          <w:color w:val="000000"/>
          <w:kern w:val="0"/>
          <w:szCs w:val="21"/>
        </w:rPr>
        <w:br w:type="textWrapping"/>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乙方(服务供应商)___________________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法定代表人：_______________________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地址：_____________________________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邮编：_____________________________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传真：_____________________________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t>联系人：___________________________</w:t>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联系电话：_________________________</w:t>
      </w:r>
    </w:p>
    <w:p>
      <w:pPr>
        <w:widowControl/>
        <w:spacing w:line="400" w:lineRule="exact"/>
        <w:rPr>
          <w:rFonts w:ascii="宋体" w:hAnsi="宋体"/>
          <w:color w:val="000000"/>
          <w:kern w:val="0"/>
          <w:szCs w:val="21"/>
          <w:u w:val="single"/>
        </w:rPr>
      </w:pPr>
      <w:r>
        <w:rPr>
          <w:rFonts w:hint="eastAsia" w:ascii="宋体" w:hAnsi="宋体" w:cs="宋体"/>
          <w:color w:val="000000"/>
          <w:kern w:val="0"/>
          <w:szCs w:val="21"/>
        </w:rPr>
        <w:t>电子邮箱：_________________________</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经甲、乙双方友好协商，本着自愿、互利和共赢的原则，根据《中华人民共和国合同法》、中国人民银行《非金融机构支付服务管理办法》、《银行卡收单业务管理办法》等国家法律法规、规章及相关业务规定(以下简称“法律法规”)，就乙方向甲方提供银行卡收单拓展服务事项达成协议如下：</w:t>
      </w:r>
    </w:p>
    <w:p>
      <w:pPr>
        <w:widowControl/>
        <w:spacing w:line="400" w:lineRule="exact"/>
        <w:ind w:firstLine="420" w:firstLineChars="200"/>
        <w:rPr>
          <w:rFonts w:ascii="宋体" w:hAnsi="宋体" w:cs="宋体"/>
          <w:color w:val="000000"/>
          <w:kern w:val="0"/>
          <w:szCs w:val="21"/>
        </w:rPr>
      </w:pPr>
    </w:p>
    <w:p>
      <w:pPr>
        <w:widowControl/>
        <w:spacing w:line="400" w:lineRule="exact"/>
        <w:ind w:firstLine="420" w:firstLineChars="200"/>
        <w:rPr>
          <w:rFonts w:ascii="宋体" w:hAnsi="宋体"/>
          <w:color w:val="000000"/>
          <w:kern w:val="0"/>
          <w:szCs w:val="21"/>
        </w:rPr>
      </w:pPr>
      <w:r>
        <w:rPr>
          <w:rFonts w:hint="eastAsia" w:ascii="宋体" w:hAnsi="宋体"/>
          <w:color w:val="000000"/>
          <w:kern w:val="0"/>
          <w:szCs w:val="21"/>
        </w:rPr>
        <w:t>术语定义</w:t>
      </w:r>
      <w:r>
        <w:rPr>
          <w:rFonts w:hint="eastAsia" w:ascii="宋体" w:hAnsi="宋体" w:cs="宋体"/>
          <w:color w:val="000000"/>
          <w:kern w:val="0"/>
          <w:szCs w:val="21"/>
        </w:rPr>
        <w:t>：</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1.“支付服务”是指甲方依照《非金融机构支付服务管理办法》、《银行卡收单业务管理办法》等相关法律法规在收付款人之间作为中介机构提供的货币资金转移的相关服务。</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2.“银行卡收单拓展服务”是指支付服务中不涉及支付交易下货币资金转移的，法律法规及监管机关允许收单机构按照规定外包给具备一定标准和条件机构的服务事项。</w:t>
      </w:r>
      <w:r>
        <w:rPr>
          <w:rFonts w:ascii="宋体" w:hAnsi="宋体" w:cs="宋体"/>
          <w:color w:val="000000"/>
          <w:kern w:val="0"/>
          <w:szCs w:val="21"/>
        </w:rPr>
        <w:t xml:space="preserve">    </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银行卡收单拓展服务业务”是指除收单业务交易处理、资金结算、风险监测、受理终端主密钥生成和管理、差错和争议处理业务以外的服务内容，主要包括特约商户推荐、受理终端布放与受理标识张贴、特约商户培训、受理终端维护、耗材配送、特约商户调单等。</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4.“受理终端”是指通过读取或输入银行卡相关信息，发起交易并提示操作方完成的读取或输入银行卡相关信息，发起交易并提示操作方完成的专用设备及其终端程序。包括：POS受理终端、扫码牌、扫码枪、扫码盒等。</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5.“特约商户”是指与甲方（收单机构）签订银行卡受理协议，按约定受理银行卡并委托收单机构为其完成交易资金结算的企事业单位、个体工商户、其他组织、自然人等。</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6.“交易证明材料”是指在银行卡交易过程中形成的，能够证明交易真实、有效的相关资料，包括但不限于交易签购单、持卡人消费明细、购物发票、特约商户发货凭证、持卡人收货凭证、特约商户销账凭证、电子交易数据等。</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7.“账户信息”是指银行卡上记录的所有账户信息以及与银行卡交易相关的用户身份验证信息。记录在银行卡上的账户信息包括卡号、卡片有效期、磁道信息(含芯片等效磁道信息)、卡片验证码(CVN及CVN2)等信息；与银行卡交易相关的用户身份验证信息包括个人标识代码(PIN)、网上业务、电话银行、手机银行等业务中的用户注册名、登录密码、支付密码、真实姓名、证件号码、手机号码、动态验证码、生物特征等信息。</w:t>
      </w:r>
    </w:p>
    <w:p>
      <w:pPr>
        <w:widowControl/>
        <w:spacing w:line="400" w:lineRule="exact"/>
        <w:ind w:firstLine="420" w:firstLineChars="200"/>
        <w:rPr>
          <w:rFonts w:ascii="宋体" w:hAnsi="宋体" w:cs="宋体"/>
          <w:color w:val="000000"/>
          <w:kern w:val="0"/>
          <w:szCs w:val="21"/>
        </w:rPr>
      </w:pPr>
      <w:r>
        <w:rPr>
          <w:rFonts w:ascii="宋体" w:hAnsi="宋体" w:cs="宋体"/>
          <w:color w:val="000000"/>
          <w:kern w:val="0"/>
          <w:szCs w:val="21"/>
        </w:rPr>
        <w:t>8</w:t>
      </w:r>
      <w:r>
        <w:rPr>
          <w:rFonts w:hint="eastAsia" w:ascii="宋体" w:hAnsi="宋体" w:cs="宋体"/>
          <w:color w:val="000000"/>
          <w:kern w:val="0"/>
          <w:szCs w:val="21"/>
        </w:rPr>
        <w:t>．“监管机构”是指人民银行、中国银联等清算机构、中国支付清算协会及国际组织、市场监督管理部门等对甲方业务及本协议合作业务有监督权力的单位。</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b/>
          <w:color w:val="000000"/>
          <w:kern w:val="0"/>
          <w:szCs w:val="21"/>
        </w:rPr>
        <w:t>第一条 合作内容</w:t>
      </w:r>
    </w:p>
    <w:p>
      <w:pPr>
        <w:pStyle w:val="3"/>
        <w:ind w:firstLine="420" w:firstLineChars="200"/>
      </w:pPr>
      <w:r>
        <w:rPr>
          <w:rFonts w:hint="eastAsia" w:ascii="宋体" w:hAnsi="宋体" w:cs="宋体"/>
          <w:color w:val="000000"/>
          <w:kern w:val="0"/>
          <w:szCs w:val="21"/>
        </w:rPr>
        <w:t>1.经双方确认，甲方委托乙方在甲方管理系统内确定的区域开展银行卡收单拓展服务业务，乙方不得超范围开展业务。</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2.乙方为甲方下列银行卡收单的商户拓展业务（银行卡收单拓展服务业务）提供专业化服务：</w:t>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特约商户推荐：是指按照甲方或其分支机构的要求，向其推荐有意向受理银行卡业务的商户，提供商户信息并协助甲方完成商户调查，商户资料收集、整理与提交等工作，甲方负责审批。甲方的特约商户入网协议，由乙方提供签署环境与条件，协助甲方完成签署；</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（2）受理终端布放与受理标识张贴，是指为特约商户安装终端设备，配备业务受理用品，进行操作培训，张贴受理标识，使特约商户能够正常受理银行卡的业务处理过程；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3）特约商户培训，是指对特约商户相关人员(包括财务、收银人员等)进行银行卡受理业务知识培训，使特约商户相关人员了解、掌握受理银行卡的知识和技能，达到提高特约商户银行卡受理服务质量、防范业务风险、创建良好用卡环境的目的；</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（4）受理终端维护，是指对安装在特约商户的终端设备进行故障排除、参数维护、应用程序升级换装以及终端部件更换等业务处理的过程；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5）特约商户调单，是指调取特约商户相关交易证明材料及特约商户相关申请资料的过程。包括签购单、发票、收货单等交易证明材料，以及特约商户退货申请表、特约商户信息变更申请表、特约商户新增终端申请表等，调取主体包括但不限于甲方、发卡行、监管机构、司法机关、公安机关及其他具有相关权力的单位；</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（6）甲方授权的其他相关服务。</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乙方提供前述服务的相关指标和标准由甲方相关管理制度、政策、通知、公告等确定。</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b/>
          <w:color w:val="000000"/>
          <w:kern w:val="0"/>
          <w:szCs w:val="21"/>
        </w:rPr>
        <w:t xml:space="preserve">第二条 </w:t>
      </w:r>
      <w:r>
        <w:rPr>
          <w:rFonts w:hint="eastAsia" w:ascii="宋体" w:hAnsi="宋体" w:cs="宋体"/>
          <w:b/>
          <w:color w:val="000000"/>
          <w:kern w:val="0"/>
          <w:szCs w:val="21"/>
        </w:rPr>
        <w:t>甲方的权利和义务</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1.甲方有权要求乙方遵守国家法律、法规、监管机构的规定、行业自律规范和市场规则，确保服务水平符合要求。</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2.甲方有权对乙方推荐的特约商户按照甲方特约商户准入标准进行审批，并决定是否准予乙方推荐的商户入网，与商户签署特约商户入网相关的收单协议。</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3.甲方有权根据监管要求、市场动态及乙方的业务行为出具公告、通知等形式的业务要求与合理的处罚措施，前述内容一经公告或送达立即生效，乙方认可其效力并自愿接受其约束。</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4.甲方有权视实际情况要求乙方制定并向甲方报备相关内控制度和业务规范，提供相关合作业务统计分析报表、合作特约商户资料信息、合作特约商户交易签购单等资料，并对乙方提供的资料进行核实、调查，乙方应积极配合，对于发现问题的，乙方应在甲方要求的时限内进行纠正。</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5.甲方有权视实际情况在监管要求下根据自身业务管理需要设计相应的考核指标体系，对乙方的业务开展情况进行检查、考核及评价。根据检查情况要求乙方限期整改，并将相关问题及其整改情况予于公布或向监管机构提供。</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6.甲方有权根据业务发展要求调整任务总数量、时间进度等工作计划，经甲乙双方协商确定具体的完成计划。</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7.甲方有权在发生以下情形时，视情况</w:t>
      </w:r>
      <w:r>
        <w:rPr>
          <w:rFonts w:hint="eastAsia" w:ascii="宋体" w:hAnsi="宋体" w:cs="宋体"/>
          <w:bCs/>
          <w:color w:val="000000"/>
          <w:szCs w:val="21"/>
        </w:rPr>
        <w:t>将相关特约商户关闭商户交易功能与停止资金结算服务；同时，</w:t>
      </w:r>
      <w:r>
        <w:rPr>
          <w:rFonts w:hint="eastAsia" w:ascii="宋体" w:hAnsi="宋体" w:cs="宋体"/>
          <w:color w:val="000000"/>
          <w:kern w:val="0"/>
          <w:szCs w:val="21"/>
        </w:rPr>
        <w:t>甲方有权单方面解除本协议；不向乙方支付相应的服务费；给甲方造成损失的，甲方有权从乙方缴纳的保证金及/或应支付给乙方的服务费等应付款项中扣除相应的金额以弥补损失，以上方式</w:t>
      </w:r>
      <w:r>
        <w:rPr>
          <w:rFonts w:hint="eastAsia" w:ascii="宋体" w:hAnsi="宋体" w:cs="宋体"/>
          <w:color w:val="000000"/>
          <w:szCs w:val="21"/>
        </w:rPr>
        <w:t>不足以弥补甲方损失的，甲方有权要求乙方另行支付（前述措施可择一或同时适用）</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（1）乙方或商户提供虚假材料，骗取甲方合作资格；</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（2）乙方或与不良商户勾结、商户自行进行如虚假伪冒申请、伪卡盗刷、套现、洗钱、分单、虚假交易等活动；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（3）乙方以套用、变造与真实商户类型不相符商户编码等各类手段变相降低刷卡手续费率，恶意争抢客户；</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（4）乙方或商户釆取不正当竞争手段盗取、转移特约商户或受理终端；</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（5）乙方或商户留存、窃取或泄露客户账户信息、身份证号码等敏感信息及交易信息；</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（6）乙方或商户对客户的银行卡交易进行交易处理，自主设置交易路由、加载未经甲方同意的程序或改造已经甲方同意的程序，通过编制、篡改、仿冒或重组交易报文等方式隐匿、歪曲真实交易；</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（7）乙方将本协议约定的业务、义务及承诺等进行转包、转让、变相转包；乙方或与商户勾结将特约商户结算资金通过商户或其他机构进行二次清算；</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（8）因自身或拓展的商户行为影响甲方声誉、致使甲方被投诉、举报至监管机构、致使甲方遭受行政处罚或给甲方造成经济损失；</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（9）乙方拓展的商户因提供的产品或服务瑕疵致使消费者、发卡机构或持卡人向甲方、发卡行、监管机构或其他部门投诉。如致使甲方遭受行政处罚或赔偿损失的，乙方为此与商户向甲方承担连带责任；</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）乙方涉及刑事案件、诉讼、负面舆论或</w:t>
      </w:r>
      <w:r>
        <w:rPr>
          <w:rFonts w:hint="eastAsia" w:ascii="宋体" w:hAnsi="宋体"/>
          <w:szCs w:val="21"/>
        </w:rPr>
        <w:t>遭受媒体不利曝光造成甲方损失的</w:t>
      </w:r>
      <w:r>
        <w:rPr>
          <w:rFonts w:hint="eastAsia" w:ascii="宋体" w:hAnsi="宋体" w:cs="宋体"/>
          <w:color w:val="000000"/>
          <w:kern w:val="0"/>
          <w:szCs w:val="21"/>
        </w:rPr>
        <w:t>；</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）乙方通过传播媒体、宣传工具、网络方式或摆摊设点等方式出售POS机(包括MPOS)、刷卡器等受理终端；进行不当宣传（如使用“养卡神器、自选行业 、一机多商户、优质自选商户、商户滚动切换、100%落地积分、零扣率、低扣率、费率自由定义、T+0、D+0、即时到账、刷单、套现”等词汇）；</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2</w:t>
      </w:r>
      <w:r>
        <w:rPr>
          <w:rFonts w:hint="eastAsia" w:ascii="宋体" w:hAnsi="宋体" w:cs="宋体"/>
          <w:color w:val="000000"/>
          <w:kern w:val="0"/>
          <w:szCs w:val="21"/>
        </w:rPr>
        <w:t>）乙方或特约商户对POS等受理终端进行随意更换、转移或加装；对终端程序进行修改；自行灌装未经甲方同意的终端程序；</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r>
        <w:rPr>
          <w:rFonts w:hint="eastAsia" w:ascii="宋体" w:hAnsi="宋体" w:cs="宋体"/>
          <w:color w:val="000000"/>
          <w:kern w:val="0"/>
          <w:szCs w:val="21"/>
        </w:rPr>
        <w:t>）乙方不能完全配合特约商户调单工作或相关的调查活动</w:t>
      </w:r>
      <w:r>
        <w:rPr>
          <w:rFonts w:ascii="宋体" w:hAnsi="宋体" w:cs="宋体"/>
          <w:color w:val="000000"/>
          <w:kern w:val="0"/>
          <w:szCs w:val="21"/>
        </w:rPr>
        <w:t>，</w:t>
      </w:r>
      <w:r>
        <w:rPr>
          <w:rFonts w:hint="eastAsia" w:ascii="宋体" w:hAnsi="宋体" w:cs="宋体"/>
          <w:color w:val="000000"/>
          <w:kern w:val="0"/>
          <w:szCs w:val="21"/>
        </w:rPr>
        <w:t>包括但不限于客观上不能完全配合、</w:t>
      </w:r>
      <w:r>
        <w:rPr>
          <w:rFonts w:ascii="宋体" w:hAnsi="宋体" w:cs="宋体"/>
          <w:color w:val="000000"/>
          <w:kern w:val="0"/>
          <w:szCs w:val="21"/>
        </w:rPr>
        <w:t>怠于提供事实情况</w:t>
      </w:r>
      <w:r>
        <w:rPr>
          <w:rFonts w:hint="eastAsia" w:ascii="宋体" w:hAnsi="宋体" w:cs="宋体"/>
          <w:color w:val="000000"/>
          <w:kern w:val="0"/>
          <w:szCs w:val="21"/>
        </w:rPr>
        <w:t>与资料</w:t>
      </w:r>
      <w:r>
        <w:rPr>
          <w:rFonts w:ascii="宋体" w:hAnsi="宋体" w:cs="宋体"/>
          <w:color w:val="000000"/>
          <w:kern w:val="0"/>
          <w:szCs w:val="21"/>
        </w:rPr>
        <w:t>、隐匿相关情况</w:t>
      </w:r>
      <w:r>
        <w:rPr>
          <w:rFonts w:hint="eastAsia" w:ascii="宋体" w:hAnsi="宋体" w:cs="宋体"/>
          <w:color w:val="000000"/>
          <w:kern w:val="0"/>
          <w:szCs w:val="21"/>
        </w:rPr>
        <w:t>、提供虚假情况等</w:t>
      </w:r>
      <w:r>
        <w:rPr>
          <w:rFonts w:ascii="宋体" w:hAnsi="宋体" w:cs="宋体"/>
          <w:color w:val="000000"/>
          <w:kern w:val="0"/>
          <w:szCs w:val="21"/>
        </w:rPr>
        <w:t>致使事实情况不能</w:t>
      </w:r>
      <w:r>
        <w:rPr>
          <w:rFonts w:hint="eastAsia" w:ascii="宋体" w:hAnsi="宋体" w:cs="宋体"/>
          <w:color w:val="000000"/>
          <w:kern w:val="0"/>
          <w:szCs w:val="21"/>
        </w:rPr>
        <w:t>被顺</w:t>
      </w:r>
      <w:r>
        <w:rPr>
          <w:rFonts w:ascii="宋体" w:hAnsi="宋体" w:cs="宋体"/>
          <w:color w:val="000000"/>
          <w:kern w:val="0"/>
          <w:szCs w:val="21"/>
        </w:rPr>
        <w:t>利了解</w:t>
      </w:r>
      <w:r>
        <w:rPr>
          <w:rFonts w:hint="eastAsia" w:ascii="宋体" w:hAnsi="宋体" w:cs="宋体"/>
          <w:color w:val="000000"/>
          <w:kern w:val="0"/>
          <w:szCs w:val="21"/>
        </w:rPr>
        <w:t>；</w:t>
      </w:r>
    </w:p>
    <w:p>
      <w:pPr>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r>
        <w:rPr>
          <w:rFonts w:hint="eastAsia" w:ascii="宋体" w:hAnsi="宋体" w:cs="宋体"/>
          <w:color w:val="000000"/>
          <w:kern w:val="0"/>
          <w:szCs w:val="21"/>
        </w:rPr>
        <w:t>）乙方或商户存在其他违反法律、法规、监管规定或行业自律规范的行为；</w:t>
      </w:r>
    </w:p>
    <w:p>
      <w:pPr>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r>
        <w:rPr>
          <w:rFonts w:hint="eastAsia" w:ascii="宋体" w:hAnsi="宋体" w:cs="宋体"/>
          <w:color w:val="000000"/>
          <w:kern w:val="0"/>
          <w:szCs w:val="21"/>
        </w:rPr>
        <w:t>）乙方违反本协议任何其他约定、其他任何与甲方的约定，或者乙方存在过错从而甲方合理认为需要提前终止协议的其他行为。</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8. 甲方有权在发生以下情形时，与乙方提前终止服务合同，并不承担违约责任：</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（1）乙方经营范围变更，经甲方确认已不适合与之合作开展收单业务；</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）监管机构终止乙方业务运作或营业执照，或乙方被政府机构、司法机构列入破产清算；</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（3）乙方改变公司主营业务，改变公司组织形式，重组、并购，乙方实际控制人、股东、主要负责人等更换或涉及重大民事、刑事案件、</w:t>
      </w:r>
      <w:r>
        <w:rPr>
          <w:rFonts w:hint="eastAsia" w:ascii="宋体" w:hAnsi="宋体"/>
          <w:szCs w:val="21"/>
        </w:rPr>
        <w:t>遭受</w:t>
      </w:r>
      <w:r>
        <w:rPr>
          <w:rFonts w:hint="eastAsia" w:ascii="宋体" w:hAnsi="宋体" w:cs="宋体"/>
          <w:color w:val="000000"/>
          <w:kern w:val="0"/>
          <w:szCs w:val="21"/>
        </w:rPr>
        <w:t>负面舆论或</w:t>
      </w:r>
      <w:r>
        <w:rPr>
          <w:rFonts w:hint="eastAsia" w:ascii="宋体" w:hAnsi="宋体"/>
          <w:szCs w:val="21"/>
        </w:rPr>
        <w:t>媒体不利曝光</w:t>
      </w:r>
      <w:r>
        <w:rPr>
          <w:rFonts w:hint="eastAsia" w:ascii="宋体" w:hAnsi="宋体" w:cs="宋体"/>
          <w:color w:val="000000"/>
          <w:kern w:val="0"/>
          <w:szCs w:val="21"/>
        </w:rPr>
        <w:t>等致使甲方对与乙方顺利合作产生合理不安；</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（4）其他甲方认为双方不再适宜继续合作的情形。</w:t>
      </w:r>
      <w:r>
        <w:rPr>
          <w:rFonts w:hint="eastAsia" w:ascii="宋体" w:hAnsi="宋体" w:cs="宋体"/>
          <w:color w:val="000000"/>
          <w:kern w:val="0"/>
          <w:szCs w:val="21"/>
        </w:rPr>
        <w:br w:type="textWrapping"/>
      </w:r>
      <w:r>
        <w:rPr>
          <w:rFonts w:ascii="宋体" w:hAnsi="宋体" w:cs="宋体"/>
          <w:color w:val="000000"/>
          <w:kern w:val="0"/>
          <w:szCs w:val="21"/>
        </w:rPr>
        <w:t xml:space="preserve">    9</w:t>
      </w:r>
      <w:r>
        <w:rPr>
          <w:rFonts w:hint="eastAsia" w:ascii="宋体" w:hAnsi="宋体" w:cs="宋体"/>
          <w:color w:val="000000"/>
          <w:kern w:val="0"/>
          <w:szCs w:val="21"/>
          <w:lang w:val="en-US" w:eastAsia="zh-CN"/>
        </w:rPr>
        <w:t>.</w:t>
      </w:r>
      <w:r>
        <w:rPr>
          <w:rFonts w:hint="eastAsia" w:ascii="宋体" w:hAnsi="宋体" w:cs="宋体"/>
          <w:color w:val="000000"/>
          <w:kern w:val="0"/>
          <w:szCs w:val="21"/>
        </w:rPr>
        <w:t>甲方有权根据风险情况要求乙方缴存保证金并根据情况随时调整缴存金额，保证金的金额由甲方另行通知确定。保证金不计算利息。在乙方违反本协议约定或因乙方过错，造成甲方、银行卡清算机构、发卡机构或持卡人资金损失的情况下，甲方可先行从其保证金中直接扣收相应款项进行赔偿，并保留对乙方进一步追偿的权利。保证金被扣收后，乙方应在三个工作日内补齐差额。合同合法合约终止且善后工作完成后，甲方将保证金退还给乙方。</w:t>
      </w:r>
      <w:r>
        <w:rPr>
          <w:rFonts w:hint="eastAsia" w:ascii="宋体" w:hAnsi="宋体" w:cs="宋体"/>
          <w:color w:val="000000"/>
          <w:kern w:val="0"/>
          <w:szCs w:val="21"/>
        </w:rPr>
        <w:br w:type="textWrapping"/>
      </w:r>
      <w:r>
        <w:rPr>
          <w:rFonts w:ascii="宋体" w:hAnsi="宋体" w:cs="宋体"/>
          <w:color w:val="000000"/>
          <w:kern w:val="0"/>
          <w:szCs w:val="21"/>
        </w:rPr>
        <w:t xml:space="preserve">    10</w:t>
      </w:r>
      <w:r>
        <w:rPr>
          <w:rFonts w:hint="eastAsia" w:ascii="宋体" w:hAnsi="宋体" w:cs="宋体"/>
          <w:color w:val="000000"/>
          <w:kern w:val="0"/>
          <w:szCs w:val="21"/>
        </w:rPr>
        <w:t>.甲方有权将因业务违规或风险原因而终止合作的乙方相关信息报送至监管机构，实现风险信息共享。</w:t>
      </w:r>
      <w:r>
        <w:rPr>
          <w:rFonts w:hint="eastAsia" w:ascii="宋体" w:hAnsi="宋体" w:cs="宋体"/>
          <w:color w:val="000000"/>
          <w:kern w:val="0"/>
          <w:szCs w:val="21"/>
        </w:rPr>
        <w:br w:type="textWrapping"/>
      </w:r>
      <w:r>
        <w:rPr>
          <w:rFonts w:ascii="宋体" w:hAnsi="宋体" w:cs="宋体"/>
          <w:color w:val="000000"/>
          <w:kern w:val="0"/>
          <w:szCs w:val="21"/>
        </w:rPr>
        <w:t xml:space="preserve">    11</w:t>
      </w:r>
      <w:r>
        <w:rPr>
          <w:rFonts w:hint="eastAsia" w:ascii="宋体" w:hAnsi="宋体" w:cs="宋体"/>
          <w:color w:val="000000"/>
          <w:kern w:val="0"/>
          <w:szCs w:val="21"/>
        </w:rPr>
        <w:t>.甲方负责受理终端的主密钥管理工作，并有权监督乙方落实非主密钥管理、网络安全、系统安全、机房安全等各项技术安全要求。</w:t>
      </w:r>
      <w:r>
        <w:rPr>
          <w:rFonts w:hint="eastAsia" w:ascii="宋体" w:hAnsi="宋体" w:cs="宋体"/>
          <w:color w:val="000000"/>
          <w:kern w:val="0"/>
          <w:szCs w:val="21"/>
        </w:rPr>
        <w:br w:type="textWrapping"/>
      </w:r>
      <w:r>
        <w:rPr>
          <w:rFonts w:ascii="宋体" w:hAnsi="宋体" w:cs="宋体"/>
          <w:color w:val="000000"/>
          <w:kern w:val="0"/>
          <w:szCs w:val="21"/>
        </w:rPr>
        <w:t xml:space="preserve">    12</w:t>
      </w:r>
      <w:r>
        <w:rPr>
          <w:rFonts w:hint="eastAsia" w:ascii="宋体" w:hAnsi="宋体" w:cs="宋体"/>
          <w:color w:val="000000"/>
          <w:kern w:val="0"/>
          <w:szCs w:val="21"/>
        </w:rPr>
        <w:t>.甲方负责新特约商户入网的相关工作，包括将受理终端接入甲方银行卡业务处理系统，设置并开通特约商户号和终端号。</w:t>
      </w:r>
      <w:r>
        <w:rPr>
          <w:rFonts w:hint="eastAsia" w:ascii="宋体" w:hAnsi="宋体" w:cs="宋体"/>
          <w:color w:val="000000"/>
          <w:kern w:val="0"/>
          <w:szCs w:val="21"/>
        </w:rPr>
        <w:br w:type="textWrapping"/>
      </w:r>
      <w:r>
        <w:rPr>
          <w:rFonts w:ascii="宋体" w:hAnsi="宋体" w:cs="宋体"/>
          <w:color w:val="000000"/>
          <w:kern w:val="0"/>
          <w:szCs w:val="21"/>
        </w:rPr>
        <w:t xml:space="preserve">    13</w:t>
      </w:r>
      <w:r>
        <w:rPr>
          <w:rFonts w:hint="eastAsia" w:ascii="宋体" w:hAnsi="宋体" w:cs="宋体"/>
          <w:color w:val="000000"/>
          <w:kern w:val="0"/>
          <w:szCs w:val="21"/>
        </w:rPr>
        <w:t>.甲方负责银行卡交易系统后台的维护，并根据银行卡业务规范和时限要求，做好收单特约商户的资金清算、账务核算处理、错账查询和调整等工作。必要时，错账查询和调整可要求乙方提供协助。</w:t>
      </w:r>
      <w:r>
        <w:rPr>
          <w:rFonts w:hint="eastAsia" w:ascii="宋体" w:hAnsi="宋体" w:cs="宋体"/>
          <w:color w:val="000000"/>
          <w:kern w:val="0"/>
          <w:szCs w:val="21"/>
        </w:rPr>
        <w:br w:type="textWrapping"/>
      </w:r>
      <w:r>
        <w:rPr>
          <w:rFonts w:ascii="宋体" w:hAnsi="宋体" w:cs="宋体"/>
          <w:color w:val="000000"/>
          <w:kern w:val="0"/>
          <w:szCs w:val="21"/>
        </w:rPr>
        <w:t xml:space="preserve">    14</w:t>
      </w:r>
      <w:r>
        <w:rPr>
          <w:rFonts w:hint="eastAsia" w:ascii="宋体" w:hAnsi="宋体" w:cs="宋体"/>
          <w:color w:val="000000"/>
          <w:kern w:val="0"/>
          <w:szCs w:val="21"/>
        </w:rPr>
        <w:t>.甲方负责对乙方推荐发展的收单特约商户进行日常风险管理，包括但不限于交易监控、高风险特约商户抽检和违规特约商户处理。</w:t>
      </w:r>
      <w:r>
        <w:rPr>
          <w:rFonts w:hint="eastAsia" w:ascii="宋体" w:hAnsi="宋体" w:cs="宋体"/>
          <w:color w:val="000000"/>
          <w:kern w:val="0"/>
          <w:szCs w:val="21"/>
        </w:rPr>
        <w:br w:type="textWrapping"/>
      </w:r>
      <w:r>
        <w:rPr>
          <w:rFonts w:ascii="宋体" w:hAnsi="宋体" w:cs="宋体"/>
          <w:color w:val="000000"/>
          <w:kern w:val="0"/>
          <w:szCs w:val="21"/>
        </w:rPr>
        <w:t xml:space="preserve">    15</w:t>
      </w:r>
      <w:r>
        <w:rPr>
          <w:rFonts w:hint="eastAsia" w:ascii="宋体" w:hAnsi="宋体" w:cs="宋体"/>
          <w:color w:val="000000"/>
          <w:kern w:val="0"/>
          <w:szCs w:val="21"/>
        </w:rPr>
        <w:t>.甲方负责向乙方提供银行卡收单服务业务相关培训。</w:t>
      </w:r>
      <w:r>
        <w:rPr>
          <w:rFonts w:hint="eastAsia" w:ascii="宋体" w:hAnsi="宋体" w:cs="宋体"/>
          <w:color w:val="000000"/>
          <w:kern w:val="0"/>
          <w:szCs w:val="21"/>
        </w:rPr>
        <w:br w:type="textWrapping"/>
      </w:r>
      <w:r>
        <w:rPr>
          <w:rFonts w:ascii="宋体" w:hAnsi="宋体" w:cs="宋体"/>
          <w:color w:val="000000"/>
          <w:kern w:val="0"/>
          <w:szCs w:val="21"/>
        </w:rPr>
        <w:t xml:space="preserve">    16</w:t>
      </w:r>
      <w:r>
        <w:rPr>
          <w:rFonts w:hint="eastAsia" w:ascii="宋体" w:hAnsi="宋体" w:cs="宋体"/>
          <w:color w:val="000000"/>
          <w:kern w:val="0"/>
          <w:szCs w:val="21"/>
        </w:rPr>
        <w:t>.甲方有权在发生疑似风险交易（包括但不限于疑似洗钱、诈骗、从事受理伪卡/盗卡服务、虚假申请、侧录、泄露账户及交易信息、套现、洗单、分单、篡改订单金额、恶意倒闭、虚假交易、超范围使用授权限额、疑似因商户违反操作规范或其他相关规定发生持卡人否认交易的）时，冻结商户结算款项，并冻结应付乙方的服务费及其他款项。乙方应配合甲方完成调单等调查措施，待疑似风险交易排除后予以解冻。</w:t>
      </w:r>
    </w:p>
    <w:p>
      <w:pPr>
        <w:widowControl/>
        <w:spacing w:line="400" w:lineRule="exact"/>
        <w:ind w:firstLine="420" w:firstLineChars="200"/>
        <w:rPr>
          <w:rFonts w:ascii="宋体" w:hAnsi="宋体"/>
          <w:bCs/>
          <w:szCs w:val="21"/>
        </w:rPr>
      </w:pPr>
      <w:r>
        <w:rPr>
          <w:rFonts w:hint="eastAsia" w:ascii="宋体" w:hAnsi="宋体" w:cs="宋体"/>
          <w:bCs/>
          <w:color w:val="000000"/>
          <w:szCs w:val="21"/>
        </w:rPr>
        <w:t>1</w:t>
      </w:r>
      <w:r>
        <w:rPr>
          <w:rFonts w:ascii="宋体" w:hAnsi="宋体" w:cs="宋体"/>
          <w:bCs/>
          <w:color w:val="000000"/>
          <w:szCs w:val="21"/>
        </w:rPr>
        <w:t>7.</w:t>
      </w:r>
      <w:r>
        <w:rPr>
          <w:rFonts w:hint="eastAsia" w:ascii="宋体" w:hAnsi="宋体" w:cs="宋体"/>
          <w:bCs/>
          <w:color w:val="000000"/>
          <w:szCs w:val="21"/>
        </w:rPr>
        <w:t>甲方</w:t>
      </w:r>
      <w:r>
        <w:rPr>
          <w:rFonts w:hint="eastAsia" w:ascii="宋体" w:hAnsi="宋体"/>
          <w:bCs/>
          <w:szCs w:val="21"/>
        </w:rPr>
        <w:t>对协议终止</w:t>
      </w:r>
      <w:r>
        <w:rPr>
          <w:rFonts w:hint="eastAsia" w:ascii="宋体" w:hAnsi="宋体" w:cs="宋体"/>
          <w:szCs w:val="21"/>
        </w:rPr>
        <w:t>后五年内</w:t>
      </w:r>
      <w:r>
        <w:rPr>
          <w:rFonts w:hint="eastAsia" w:ascii="宋体" w:hAnsi="宋体"/>
          <w:bCs/>
          <w:szCs w:val="21"/>
        </w:rPr>
        <w:t>的所有交易仍权进行查询、调单核查并影印留存签购单及其他交易凭证等，法律法规等规定长于此期限的以相关规定为准。</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8.</w:t>
      </w:r>
      <w:r>
        <w:rPr>
          <w:rFonts w:hint="eastAsia" w:ascii="宋体" w:hAnsi="宋体" w:cs="宋体"/>
          <w:color w:val="000000"/>
          <w:kern w:val="0"/>
          <w:szCs w:val="21"/>
        </w:rPr>
        <w:t>法律法规规定和本协议约定的其他权利、义务。</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b/>
          <w:color w:val="000000"/>
          <w:kern w:val="0"/>
          <w:szCs w:val="21"/>
        </w:rPr>
        <w:t>第三条 乙方权利和义务</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1.乙方承诺遵守相关法律、行政法规、国家管理部门出台的规定及市场规则，遵守甲方相关制度规定。不得损害国家利益、社会公众利益、持卡人、发卡机构和银行卡清算机构的合法权益。</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2.乙方负责在与甲方开展合作的地区设立分支机构，制定与合作业务相关的内控制度、操作规程、设备维护规定和服务方案，并送甲方备案。乙方应配备能满足业务需要的足够数量专业化人员履行与甲方约定的合作事项，并向甲方提供业务合作工作进展情况。乙方不得超出甲方授权的区域、业务范围开展业务活动。</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3.乙方推荐的收单商户需满足甲方特约商户准入标准。在商户推荐工作中，乙方不得做欺诈表示，不得做混淆表述，乙方不得推荐非真实、违规经营的商户，不得伪造商户申请资料，不得主动为商户提供虚假材料或协助商户以虚假材料恶意申请入网，不得夸大、歪曲甲方业务范围、能力等情况，不得超过甲方授权范围向商户进行营销、宣传等活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4.</w:t>
      </w:r>
      <w:r>
        <w:rPr>
          <w:rFonts w:hint="eastAsia" w:ascii="宋体" w:hAnsi="宋体" w:cs="宋体"/>
          <w:color w:val="000000"/>
          <w:kern w:val="0"/>
          <w:szCs w:val="21"/>
        </w:rPr>
        <w:t>对于乙方推荐的商户给甲方、持卡人、发卡机构、清算机构或第三方造成的风险和损失的，乙方应与商户承担连带责任，除非乙方能证明该风险是完全由商户自身原因造成的，乙方已尽了审慎推荐、严格审查与维护等义务，且该风险与乙方无关。</w:t>
      </w:r>
      <w:r>
        <w:rPr>
          <w:rFonts w:hint="eastAsia" w:ascii="宋体" w:hAnsi="宋体" w:cs="宋体"/>
          <w:color w:val="000000"/>
          <w:kern w:val="0"/>
          <w:szCs w:val="21"/>
        </w:rPr>
        <w:br w:type="textWrapping"/>
      </w:r>
      <w:r>
        <w:rPr>
          <w:rFonts w:ascii="宋体" w:hAnsi="宋体" w:cs="宋体"/>
          <w:color w:val="000000"/>
          <w:kern w:val="0"/>
          <w:szCs w:val="21"/>
        </w:rPr>
        <w:t xml:space="preserve">    5</w:t>
      </w:r>
      <w:r>
        <w:rPr>
          <w:rFonts w:hint="eastAsia" w:ascii="宋体" w:hAnsi="宋体" w:cs="宋体"/>
          <w:color w:val="000000"/>
          <w:kern w:val="0"/>
          <w:szCs w:val="21"/>
        </w:rPr>
        <w:t>.乙方负责特约商户维护，须履行以下义务：</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负责对其维护的特约商户进行收单受理业务的使用培训和银行卡使用业务知识培训，培训内容包括但不限于：受理终端的操作使用、保养知识；银行卡识别、受理、风险防范知识；账务处理知识。培训频率以甲方要求为准；</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（2）提供全天候服务支持和应急处理，应及时响应甲方及其特约商户需求，为甲方及其特约商户解答收单业务相关的技术、业务及账务知识，具备严格的特约商户维护日志登记制度与处理时效考核系统；</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3）乙方应对其负责维护的实体特约商户进行定期回访，回访和巡检频率不得少于每年一次，具体情况以甲方要求为准；做出书面的回访和巡检记录，妥善保留相关记录，并向甲方定期提供特约商户回访记录报告；</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4）接受甲方或特约商户委托，开展账务查询及账务调整的沟通协调工作，以及特约商户调单等工作；如乙方在接到甲方调单通知后未能及时、有效地完成调单处理而造成甲方不能在有效时间内顺利完成单据调阅，影响有关业务差错处理而造成资金损失，乙方将承担相应责任；</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（5）配合甲方的风险监控、高风险特约商户抽检、存量商户排查、违规特约商户处理等要求，及时报告特约商户的违规、违法行为，有效降低银行卡欺诈风险；</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（6）对交易量较大的重点特约商户，增加培训次数，重点做好收银员的集中培训和跟进培训工作；</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（7）乙方如发现特约商户有变更收单机构的情况，应及时通知甲方，并做好挽留工作，力争特约商户不流失。</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ascii="宋体" w:hAnsi="宋体" w:cs="宋体"/>
          <w:color w:val="000000"/>
          <w:kern w:val="0"/>
          <w:szCs w:val="21"/>
        </w:rPr>
        <w:t>6</w:t>
      </w:r>
      <w:r>
        <w:rPr>
          <w:rFonts w:hint="eastAsia" w:ascii="宋体" w:hAnsi="宋体" w:cs="宋体"/>
          <w:color w:val="000000"/>
          <w:kern w:val="0"/>
          <w:szCs w:val="21"/>
        </w:rPr>
        <w:t>.乙方不得转移甲方特约商户资源，即将甲方特约商户转变为其他收单机构的特约商户。</w:t>
      </w:r>
      <w:r>
        <w:rPr>
          <w:rFonts w:hint="eastAsia" w:ascii="宋体" w:hAnsi="宋体" w:cs="宋体"/>
          <w:color w:val="000000"/>
          <w:kern w:val="0"/>
          <w:szCs w:val="21"/>
        </w:rPr>
        <w:br w:type="textWrapping"/>
      </w:r>
      <w:r>
        <w:rPr>
          <w:rFonts w:ascii="宋体" w:hAnsi="宋体" w:cs="宋体"/>
          <w:color w:val="000000"/>
          <w:kern w:val="0"/>
          <w:szCs w:val="21"/>
        </w:rPr>
        <w:t xml:space="preserve">    7</w:t>
      </w:r>
      <w:r>
        <w:rPr>
          <w:rFonts w:hint="eastAsia" w:ascii="宋体" w:hAnsi="宋体" w:cs="宋体"/>
          <w:color w:val="000000"/>
          <w:kern w:val="0"/>
          <w:szCs w:val="21"/>
        </w:rPr>
        <w:t>.乙方不得参与开展银行卡套现、受理伪卡、洗钱等违法违规活动。</w:t>
      </w:r>
      <w:r>
        <w:rPr>
          <w:rFonts w:hint="eastAsia" w:ascii="宋体" w:hAnsi="宋体" w:cs="宋体"/>
          <w:color w:val="000000"/>
          <w:kern w:val="0"/>
          <w:szCs w:val="21"/>
        </w:rPr>
        <w:br w:type="textWrapping"/>
      </w:r>
      <w:r>
        <w:rPr>
          <w:rFonts w:ascii="宋体" w:hAnsi="宋体" w:cs="宋体"/>
          <w:color w:val="000000"/>
          <w:kern w:val="0"/>
          <w:szCs w:val="21"/>
        </w:rPr>
        <w:t xml:space="preserve">    8</w:t>
      </w:r>
      <w:r>
        <w:rPr>
          <w:rFonts w:hint="eastAsia" w:ascii="宋体" w:hAnsi="宋体" w:cs="宋体"/>
          <w:color w:val="000000"/>
          <w:kern w:val="0"/>
          <w:szCs w:val="21"/>
        </w:rPr>
        <w:t>.乙方应保证甲方特约商户和持卡人的相关信息安全。乙方不得以任何形式存储商户和持卡人的银行卡磁道信息或芯片信息以及银行卡密码、有效期、卡片验证码等账户信息与其他银行卡敏感信息。</w:t>
      </w:r>
      <w:r>
        <w:rPr>
          <w:rFonts w:hint="eastAsia" w:ascii="宋体" w:hAnsi="宋体" w:cs="宋体"/>
          <w:color w:val="000000"/>
          <w:kern w:val="0"/>
          <w:szCs w:val="21"/>
        </w:rPr>
        <w:br w:type="textWrapping"/>
      </w:r>
      <w:r>
        <w:rPr>
          <w:rFonts w:ascii="宋体" w:hAnsi="宋体" w:cs="宋体"/>
          <w:color w:val="000000"/>
          <w:kern w:val="0"/>
          <w:szCs w:val="21"/>
        </w:rPr>
        <w:t xml:space="preserve">    9</w:t>
      </w:r>
      <w:r>
        <w:rPr>
          <w:rFonts w:hint="eastAsia" w:ascii="宋体" w:hAnsi="宋体" w:cs="宋体"/>
          <w:color w:val="000000"/>
          <w:kern w:val="0"/>
          <w:szCs w:val="21"/>
        </w:rPr>
        <w:t>.乙方不得生成、管理受理终端主密钥，不得自主设置交易路由或加载未经甲方同意的程序。</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.乙方不得以特约商户名义接入甲方，乙方不得下挂二级特约商户，乙方不得通过编制、篡改、仿冒或重组交易报文等方式隐匿、歪曲真实交易。</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.乙方应保证为甲方配备专业化人员队伍以提供特约商户业务服务。</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w:t>
      </w:r>
      <w:r>
        <w:rPr>
          <w:rFonts w:ascii="宋体" w:hAnsi="宋体" w:cs="宋体"/>
          <w:color w:val="000000"/>
          <w:kern w:val="0"/>
          <w:szCs w:val="21"/>
        </w:rPr>
        <w:t>2</w:t>
      </w:r>
      <w:r>
        <w:rPr>
          <w:rFonts w:hint="eastAsia" w:ascii="宋体" w:hAnsi="宋体" w:cs="宋体"/>
          <w:color w:val="000000"/>
          <w:kern w:val="0"/>
          <w:szCs w:val="21"/>
        </w:rPr>
        <w:t>.乙方应每日向甲方通报特约商户拓展、维护等经营活动的有关事项；及时通报经营活动的突发性事件。</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w:t>
      </w:r>
      <w:r>
        <w:rPr>
          <w:rFonts w:ascii="宋体" w:hAnsi="宋体" w:cs="宋体"/>
          <w:color w:val="000000"/>
          <w:kern w:val="0"/>
          <w:szCs w:val="21"/>
        </w:rPr>
        <w:t>3</w:t>
      </w:r>
      <w:r>
        <w:rPr>
          <w:rFonts w:hint="eastAsia" w:ascii="宋体" w:hAnsi="宋体" w:cs="宋体"/>
          <w:color w:val="000000"/>
          <w:kern w:val="0"/>
          <w:szCs w:val="21"/>
        </w:rPr>
        <w:t>.乙方如接到特约商户调单或监管机构、公安机关、司法机关等有关部门的检查、调查工作，不得直接对接，应阐明双方的合作关系并将前述单位引导至甲方开展相关调查工作。</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乙方应在接到甲方通知后一个工作日内，配合甲方完成特约商户调单或监管机构、公安机关、司法机关等有关部门的检查、调查工作。如遇紧急情况，应确保在甲方要求的时限内完成前述工作。</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w:t>
      </w:r>
      <w:r>
        <w:rPr>
          <w:rFonts w:ascii="宋体" w:hAnsi="宋体" w:cs="宋体"/>
          <w:color w:val="000000"/>
          <w:kern w:val="0"/>
          <w:szCs w:val="21"/>
        </w:rPr>
        <w:t>4</w:t>
      </w:r>
      <w:r>
        <w:rPr>
          <w:rFonts w:hint="eastAsia" w:ascii="宋体" w:hAnsi="宋体" w:cs="宋体"/>
          <w:color w:val="000000"/>
          <w:kern w:val="0"/>
          <w:szCs w:val="21"/>
        </w:rPr>
        <w:t>.乙方不得侵犯甲方及银行卡清算机构的品牌和商标权益，乙方不得冒用甲方或银行卡清算机构的名义开展业务活动。确有正常经营需要使用甲方及银行卡清算机构的品牌和商标的，应提前三个工作日向甲方提出书面申请，由甲方书面审批同意后方可在甲方的协助下实施。</w:t>
      </w:r>
      <w:r>
        <w:rPr>
          <w:rFonts w:ascii="宋体" w:hAnsi="宋体" w:cs="宋体"/>
          <w:color w:val="000000"/>
          <w:kern w:val="0"/>
          <w:szCs w:val="21"/>
        </w:rPr>
        <w:t xml:space="preserve">    </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r>
        <w:rPr>
          <w:rFonts w:hint="eastAsia" w:ascii="宋体" w:hAnsi="宋体" w:cs="宋体"/>
          <w:color w:val="000000"/>
          <w:kern w:val="0"/>
          <w:szCs w:val="21"/>
        </w:rPr>
        <w:t>.乙方使用甲方任何业务资料须经甲方同意，并有义务应甲方要求及时归还或根据甲方的要求销毁。业务资料包括但不限于：银行卡清算机构业务规章、业务规则及规范、委托拓展服务业务产生的文件资料（如特约商户申请资料、特约商户协议、特约商户信息、交易数据与交易单据等）。</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w:t>
      </w:r>
      <w:r>
        <w:rPr>
          <w:rFonts w:ascii="宋体" w:hAnsi="宋体" w:cs="宋体"/>
          <w:color w:val="000000"/>
          <w:kern w:val="0"/>
          <w:szCs w:val="21"/>
        </w:rPr>
        <w:t>6</w:t>
      </w:r>
      <w:r>
        <w:rPr>
          <w:rFonts w:hint="eastAsia" w:ascii="宋体" w:hAnsi="宋体" w:cs="宋体"/>
          <w:color w:val="000000"/>
          <w:kern w:val="0"/>
          <w:szCs w:val="21"/>
        </w:rPr>
        <w:t>.乙方不得因提供银行卡收单业务拓展服务而实际拥有、控制特约商户结算资金，为特约商户提供二次清算。</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w:t>
      </w:r>
      <w:r>
        <w:rPr>
          <w:rFonts w:ascii="宋体" w:hAnsi="宋体" w:cs="宋体"/>
          <w:color w:val="000000"/>
          <w:kern w:val="0"/>
          <w:szCs w:val="21"/>
        </w:rPr>
        <w:t>7</w:t>
      </w:r>
      <w:r>
        <w:rPr>
          <w:rFonts w:hint="eastAsia" w:ascii="宋体" w:hAnsi="宋体" w:cs="宋体"/>
          <w:color w:val="000000"/>
          <w:kern w:val="0"/>
          <w:szCs w:val="21"/>
        </w:rPr>
        <w:t>.乙方确认：特约商户资源及信息属于甲方的经营信息，即属于甲方的商业秘密，乙方对特约商户的资料、信息等负有保密义务且不得滥用。</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乙方的下列行为均属于侵犯甲方商业秘密的行为，须承担相应的法律责任：</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）合作终止后未按甲方要求处理商户转交工作；</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）将特约商户推荐给与甲方同行业、有竞争关系的第三方（无论是否发生在合作期内）；</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（3）擅自使用、对外提供、公开特约商户信息等。</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8</w:t>
      </w:r>
      <w:r>
        <w:rPr>
          <w:rFonts w:hint="eastAsia" w:ascii="宋体" w:hAnsi="宋体" w:cs="宋体"/>
          <w:color w:val="000000"/>
          <w:kern w:val="0"/>
          <w:szCs w:val="21"/>
        </w:rPr>
        <w:t>.如乙方的其他合作方针对本协议、相关拓展政策、补充协议产生任何争议、主张，由乙方自行解决，与甲方无关。如因此给甲方造成损失的，由乙方承担赔偿责任。</w:t>
      </w:r>
    </w:p>
    <w:p>
      <w:pPr>
        <w:widowControl/>
        <w:spacing w:line="400" w:lineRule="exact"/>
        <w:ind w:firstLine="420" w:firstLineChars="200"/>
        <w:rPr>
          <w:rFonts w:ascii="宋体" w:hAnsi="宋体" w:cs="宋体"/>
          <w:color w:val="000000"/>
          <w:kern w:val="0"/>
          <w:szCs w:val="21"/>
        </w:rPr>
      </w:pPr>
      <w:r>
        <w:rPr>
          <w:rFonts w:ascii="宋体" w:hAnsi="宋体" w:cs="宋体"/>
          <w:color w:val="000000"/>
          <w:kern w:val="0"/>
          <w:szCs w:val="21"/>
        </w:rPr>
        <w:t>19.</w:t>
      </w:r>
      <w:r>
        <w:rPr>
          <w:rFonts w:hint="eastAsia" w:ascii="宋体" w:hAnsi="宋体" w:cs="宋体"/>
          <w:color w:val="000000"/>
          <w:kern w:val="0"/>
          <w:szCs w:val="21"/>
        </w:rPr>
        <w:t>合作终止前，乙方有义务协助甲方处理后续事项，包括但不限于商户转交等工作。</w:t>
      </w:r>
    </w:p>
    <w:p>
      <w:pPr>
        <w:widowControl/>
        <w:spacing w:line="400" w:lineRule="exact"/>
        <w:ind w:firstLine="420" w:firstLineChars="200"/>
        <w:rPr>
          <w:rFonts w:hint="eastAsia" w:ascii="宋体" w:hAnsi="宋体" w:cs="宋体"/>
          <w:color w:val="000000"/>
          <w:kern w:val="0"/>
          <w:szCs w:val="21"/>
        </w:rPr>
      </w:pPr>
    </w:p>
    <w:p>
      <w:pPr>
        <w:widowControl/>
        <w:spacing w:line="400" w:lineRule="exact"/>
        <w:ind w:firstLine="422" w:firstLineChars="200"/>
        <w:rPr>
          <w:rFonts w:ascii="宋体" w:hAnsi="宋体" w:cs="宋体"/>
          <w:b/>
          <w:color w:val="000000"/>
          <w:kern w:val="0"/>
          <w:szCs w:val="21"/>
        </w:rPr>
      </w:pPr>
      <w:r>
        <w:rPr>
          <w:rFonts w:hint="eastAsia" w:ascii="宋体" w:hAnsi="宋体" w:cs="宋体"/>
          <w:b/>
          <w:color w:val="000000"/>
          <w:kern w:val="0"/>
          <w:szCs w:val="21"/>
        </w:rPr>
        <w:t>第四条 受理终端的采购与维护</w:t>
      </w:r>
    </w:p>
    <w:p>
      <w:pPr>
        <w:pStyle w:val="10"/>
        <w:numPr>
          <w:ilvl w:val="-1"/>
          <w:numId w:val="0"/>
        </w:numPr>
        <w:wordWrap w:val="0"/>
        <w:spacing w:line="400" w:lineRule="exact"/>
        <w:ind w:left="0" w:firstLine="422" w:firstLineChars="200"/>
        <w:rPr>
          <w:rFonts w:ascii="宋体" w:hAnsi="宋体" w:cs="宋体"/>
          <w:b/>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一</w:t>
      </w:r>
      <w:r>
        <w:rPr>
          <w:rFonts w:hint="eastAsia" w:ascii="宋体" w:hAnsi="宋体" w:cs="宋体"/>
          <w:b/>
          <w:color w:val="000000"/>
          <w:kern w:val="0"/>
          <w:szCs w:val="21"/>
          <w:lang w:eastAsia="zh-CN"/>
        </w:rPr>
        <w:t>）</w:t>
      </w:r>
      <w:r>
        <w:rPr>
          <w:rFonts w:hint="eastAsia" w:ascii="宋体" w:hAnsi="宋体" w:cs="宋体"/>
          <w:b/>
          <w:color w:val="000000"/>
          <w:kern w:val="0"/>
          <w:szCs w:val="21"/>
        </w:rPr>
        <w:t>受理终端的采购</w:t>
      </w:r>
    </w:p>
    <w:p>
      <w:pPr>
        <w:wordWrap w:val="0"/>
        <w:spacing w:line="400" w:lineRule="exact"/>
        <w:ind w:firstLine="422" w:firstLineChars="200"/>
        <w:rPr>
          <w:rFonts w:hint="eastAsia" w:ascii="宋体" w:hAnsi="宋体" w:cs="宋体"/>
          <w:b/>
          <w:color w:val="000000"/>
          <w:kern w:val="0"/>
          <w:szCs w:val="21"/>
        </w:rPr>
      </w:pPr>
      <w:r>
        <w:rPr>
          <w:rFonts w:hint="eastAsia" w:ascii="宋体" w:hAnsi="宋体" w:cs="宋体"/>
          <w:b/>
          <w:color w:val="000000"/>
          <w:kern w:val="0"/>
          <w:szCs w:val="21"/>
        </w:rPr>
        <w:t>1、</w:t>
      </w:r>
      <w:r>
        <w:rPr>
          <w:rFonts w:hint="eastAsia" w:ascii="宋体" w:hAnsi="宋体"/>
          <w:szCs w:val="21"/>
        </w:rPr>
        <w:t>本协议有效期内，乙方根据自身需求，与甲方签署受理终端的《采购协议》，并向甲方发出《采购订单》（包括但不限于活动现场下单、甲方后台系统下单、书面递送订单的方式，以下或称“订单”）的要约，约定 “产品名称、规格型号明细、数量、总价及付款周期、交付时间、交付地点及其它要求”等内容。自甲方确认之日《采购订单》生效。</w:t>
      </w:r>
    </w:p>
    <w:p>
      <w:pPr>
        <w:wordWrap w:val="0"/>
        <w:spacing w:line="400" w:lineRule="exact"/>
        <w:ind w:firstLine="420" w:firstLineChars="200"/>
        <w:rPr>
          <w:rFonts w:ascii="宋体" w:hAnsi="宋体"/>
          <w:szCs w:val="21"/>
        </w:rPr>
      </w:pPr>
      <w:r>
        <w:rPr>
          <w:rFonts w:hint="eastAsia" w:ascii="宋体" w:hAnsi="宋体"/>
          <w:szCs w:val="21"/>
        </w:rPr>
        <w:t>2、对于本协议与《采购协议》、《采购订单》中有差异的内容，以甲乙双方最终签署的《采购协议》与《采购订单》为准。</w:t>
      </w:r>
    </w:p>
    <w:p>
      <w:pPr>
        <w:wordWrap w:val="0"/>
        <w:spacing w:line="400" w:lineRule="exact"/>
        <w:ind w:firstLine="420" w:firstLineChars="200"/>
        <w:rPr>
          <w:rFonts w:hint="eastAsia" w:ascii="宋体" w:hAnsi="宋体"/>
          <w:szCs w:val="21"/>
        </w:rPr>
      </w:pPr>
      <w:r>
        <w:rPr>
          <w:rFonts w:hint="eastAsia" w:ascii="宋体" w:hAnsi="宋体"/>
          <w:szCs w:val="21"/>
        </w:rPr>
        <w:t>3、交货地点为乙方所在地或乙方指定的地点，货物运抵收货人之后，货物毁损灭失的风险均由乙方承担。</w:t>
      </w:r>
      <w:r>
        <w:rPr>
          <w:rFonts w:hint="eastAsia" w:ascii="宋体" w:hAnsi="宋体" w:cs="宋体"/>
          <w:color w:val="000000"/>
          <w:kern w:val="0"/>
          <w:szCs w:val="21"/>
        </w:rPr>
        <w:t>甲方平台系统中的乙方联系地址作为乙方指定的受理终端收货地址，乙方应保证该地址的持续有效性，如发生变动须及时通知甲方，否则造成收货不能的后果由乙方自行承担。</w:t>
      </w:r>
    </w:p>
    <w:p>
      <w:pPr>
        <w:wordWrap w:val="0"/>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w:t>
      </w:r>
      <w:r>
        <w:rPr>
          <w:rFonts w:hint="eastAsia" w:ascii="宋体" w:hAnsi="宋体"/>
          <w:szCs w:val="21"/>
          <w:lang w:bidi="ar"/>
        </w:rPr>
        <w:t>乙方如必须修改合同及订单条款，必须提前向甲方发出书面请示，对交货内容、交货数量、交货期限、交货地点及甲方在合同总体范围内需提供的其它服务提出变更需求，经甲方同意方可执行。若乙方的变更需求超出了合同的总体范围导致了甲方履行合同项下任何义务的费用或所需时间的增减，甲方有权向乙方收取。</w:t>
      </w:r>
    </w:p>
    <w:p>
      <w:pPr>
        <w:widowControl/>
        <w:spacing w:line="400" w:lineRule="exact"/>
        <w:ind w:firstLine="420" w:firstLineChars="200"/>
        <w:rPr>
          <w:rFonts w:ascii="宋体" w:hAnsi="宋体" w:cs="宋体"/>
          <w:color w:val="000000"/>
          <w:kern w:val="0"/>
          <w:szCs w:val="21"/>
        </w:rPr>
      </w:pPr>
      <w:r>
        <w:rPr>
          <w:rFonts w:ascii="宋体" w:hAnsi="宋体"/>
          <w:szCs w:val="21"/>
        </w:rPr>
        <w:t>5</w:t>
      </w:r>
      <w:r>
        <w:rPr>
          <w:rFonts w:hint="eastAsia" w:ascii="宋体" w:hAnsi="宋体"/>
          <w:szCs w:val="21"/>
        </w:rPr>
        <w:t>、受理终端的所有权自订单生效且甲方发货之日起转移至乙方所有。</w:t>
      </w:r>
    </w:p>
    <w:p>
      <w:pPr>
        <w:widowControl/>
        <w:wordWrap/>
        <w:spacing w:line="400" w:lineRule="exact"/>
        <w:ind w:firstLine="420" w:firstLineChars="200"/>
        <w:rPr>
          <w:rFonts w:hint="eastAsia" w:ascii="宋体" w:hAnsi="宋体" w:cs="宋体"/>
          <w:color w:val="000000"/>
          <w:kern w:val="0"/>
          <w:szCs w:val="21"/>
        </w:rPr>
      </w:pPr>
      <w:r>
        <w:rPr>
          <w:rFonts w:ascii="宋体" w:hAnsi="宋体"/>
          <w:szCs w:val="21"/>
        </w:rPr>
        <w:t>6</w:t>
      </w:r>
      <w:r>
        <w:rPr>
          <w:rFonts w:hint="eastAsia" w:ascii="宋体" w:hAnsi="宋体"/>
          <w:szCs w:val="21"/>
        </w:rPr>
        <w:t>、货物的</w:t>
      </w:r>
      <w:r>
        <w:rPr>
          <w:rFonts w:hint="eastAsia" w:ascii="宋体" w:hAnsi="宋体" w:cs="Arial"/>
          <w:szCs w:val="21"/>
        </w:rPr>
        <w:t>验收标准详见《设备技术要求》。每批次订单的货物交付后，乙方</w:t>
      </w:r>
      <w:r>
        <w:rPr>
          <w:rFonts w:hint="eastAsia" w:ascii="宋体" w:hAnsi="宋体"/>
          <w:szCs w:val="21"/>
        </w:rPr>
        <w:t>对该批次产品数量、外观、产品规格及相应技术许可证等项目进行检验，如发现有任何问题，乙方有权向甲方提出异议。</w:t>
      </w:r>
      <w:r>
        <w:rPr>
          <w:rFonts w:hint="eastAsia" w:ascii="宋体" w:hAnsi="宋体" w:cs="宋体"/>
          <w:color w:val="000000"/>
          <w:kern w:val="0"/>
          <w:szCs w:val="21"/>
        </w:rPr>
        <w:t>乙方有义务在收货后及时登录甲方平台系统进行受理终端确认收货，自受理终端发出之日起第1</w:t>
      </w:r>
      <w:r>
        <w:rPr>
          <w:rFonts w:ascii="宋体" w:hAnsi="宋体" w:cs="宋体"/>
          <w:color w:val="000000"/>
          <w:kern w:val="0"/>
          <w:szCs w:val="21"/>
        </w:rPr>
        <w:t>5</w:t>
      </w:r>
      <w:r>
        <w:rPr>
          <w:rFonts w:hint="eastAsia" w:ascii="宋体" w:hAnsi="宋体" w:cs="宋体"/>
          <w:color w:val="000000"/>
          <w:kern w:val="0"/>
          <w:szCs w:val="21"/>
        </w:rPr>
        <w:t>个工作日视为自动确认收货。以上形式的收货视为乙方对受理终端实质验收合格，无任何争议。</w:t>
      </w:r>
    </w:p>
    <w:p>
      <w:pPr>
        <w:wordWrap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、乙方应严格按照《采购协议》及订单的约定付款，如乙方怠于签署《采购协议》与订单，并怠于付款的，甲方有权利随时要求乙方支付全部未支付的货款。</w:t>
      </w:r>
    </w:p>
    <w:p>
      <w:pPr>
        <w:wordWrap w:val="0"/>
        <w:spacing w:line="400" w:lineRule="exact"/>
        <w:ind w:firstLine="420" w:firstLineChars="200"/>
        <w:rPr>
          <w:rFonts w:ascii="宋体" w:hAnsi="宋体" w:cs="Arial"/>
          <w:color w:val="000000"/>
          <w:szCs w:val="21"/>
        </w:rPr>
      </w:pPr>
      <w:r>
        <w:rPr>
          <w:rFonts w:ascii="宋体" w:hAnsi="宋体" w:cs="Arial"/>
          <w:szCs w:val="21"/>
        </w:rPr>
        <w:t>8</w:t>
      </w:r>
      <w:r>
        <w:rPr>
          <w:rFonts w:hint="eastAsia" w:ascii="宋体" w:hAnsi="宋体" w:cs="Arial"/>
          <w:szCs w:val="21"/>
        </w:rPr>
        <w:t>、每批订单产品的质量保证期以产品厂商说明书等文件规定为准。</w:t>
      </w:r>
      <w:r>
        <w:rPr>
          <w:rFonts w:hint="eastAsia" w:ascii="宋体" w:hAnsi="宋体" w:cs="Arial"/>
          <w:color w:val="000000"/>
          <w:szCs w:val="21"/>
        </w:rPr>
        <w:t>质量保证期内，因货物本身质量出现质保范围内的问题的，甲方负责协调厂商、乙方负责协调商户进行免费的退、换货、维修维护，双方各自承担相关的费用。因乙方原因或不可抗力等原因导致货物质量出现问题的，甲方如负责更换、维修维护的，有权按照市场价格向乙方收取费用。</w:t>
      </w:r>
    </w:p>
    <w:p>
      <w:pPr>
        <w:numPr>
          <w:ilvl w:val="0"/>
          <w:numId w:val="0"/>
        </w:numPr>
        <w:wordWrap w:val="0"/>
        <w:spacing w:line="400" w:lineRule="exact"/>
        <w:ind w:left="0" w:firstLine="420" w:firstLineChars="200"/>
        <w:rPr>
          <w:rFonts w:ascii="宋体" w:hAnsi="宋体" w:cs="Arial"/>
          <w:szCs w:val="21"/>
        </w:rPr>
      </w:pPr>
      <w:r>
        <w:rPr>
          <w:rFonts w:hint="eastAsia" w:ascii="宋体" w:hAnsi="宋体" w:cs="Arial"/>
          <w:szCs w:val="21"/>
        </w:rPr>
        <w:t>9、乙方未能按照约定时间付款的，应向甲方</w:t>
      </w:r>
      <w:r>
        <w:rPr>
          <w:rFonts w:hint="eastAsia" w:ascii="宋体" w:hAnsi="宋体" w:cs="Arial"/>
          <w:szCs w:val="21"/>
        </w:rPr>
        <w:t>支付延期违约金，每迟交一日按未付款金额的1%支付违约金</w:t>
      </w:r>
      <w:r>
        <w:rPr>
          <w:rFonts w:hint="eastAsia" w:ascii="宋体" w:hAnsi="宋体" w:cs="Arial"/>
          <w:szCs w:val="21"/>
        </w:rPr>
        <w:t>，超过10日的，甲方</w:t>
      </w:r>
      <w:r>
        <w:rPr>
          <w:rFonts w:hint="eastAsia" w:ascii="宋体" w:hAnsi="宋体" w:cs="Arial"/>
          <w:szCs w:val="21"/>
        </w:rPr>
        <w:t>有权单方解除《采购订单》</w:t>
      </w:r>
      <w:r>
        <w:rPr>
          <w:rFonts w:hint="eastAsia" w:ascii="宋体" w:hAnsi="宋体" w:cs="Arial"/>
          <w:szCs w:val="21"/>
        </w:rPr>
        <w:t>并要求乙方承担相关损失，包括但不限于甲方的采购支出、运输费用、可期待利益</w:t>
      </w:r>
      <w:r>
        <w:rPr>
          <w:rFonts w:hint="eastAsia" w:ascii="宋体" w:hAnsi="宋体" w:cs="Arial"/>
          <w:szCs w:val="21"/>
        </w:rPr>
        <w:t>。</w:t>
      </w:r>
    </w:p>
    <w:p>
      <w:pPr>
        <w:wordWrap w:val="0"/>
        <w:spacing w:line="400" w:lineRule="exact"/>
        <w:ind w:firstLine="420" w:firstLineChars="200"/>
        <w:rPr>
          <w:rFonts w:ascii="宋体" w:hAnsi="宋体" w:cs="Arial"/>
          <w:szCs w:val="21"/>
          <w:lang w:val="zh-CN"/>
        </w:rPr>
      </w:pPr>
      <w:r>
        <w:rPr>
          <w:rFonts w:ascii="宋体" w:hAnsi="宋体" w:cs="Arial"/>
          <w:szCs w:val="21"/>
        </w:rPr>
        <w:t>10</w:t>
      </w:r>
      <w:r>
        <w:rPr>
          <w:rFonts w:hint="eastAsia" w:ascii="宋体" w:hAnsi="宋体" w:cs="Arial"/>
          <w:szCs w:val="21"/>
        </w:rPr>
        <w:t>、乙方有任何终端采购方面的违约行为需要向甲方承担违约责任的，甲方可以从应付乙方的服务费</w:t>
      </w:r>
      <w:r>
        <w:rPr>
          <w:rFonts w:hint="eastAsia" w:ascii="宋体" w:hAnsi="宋体" w:cs="宋体"/>
          <w:szCs w:val="21"/>
        </w:rPr>
        <w:t>与其他应付款中扣除相应款项。</w:t>
      </w:r>
    </w:p>
    <w:p>
      <w:pPr>
        <w:widowControl w:val="0"/>
        <w:wordWrap w:val="0"/>
        <w:spacing w:line="400" w:lineRule="exact"/>
        <w:ind w:firstLine="422" w:firstLineChars="200"/>
        <w:rPr>
          <w:rFonts w:hint="eastAsia" w:ascii="宋体" w:hAnsi="宋体" w:cs="Arial"/>
          <w:b/>
          <w:color w:val="000000"/>
          <w:kern w:val="2"/>
          <w:szCs w:val="21"/>
          <w:lang w:val="zh-CN"/>
        </w:rPr>
      </w:pPr>
      <w:r>
        <w:rPr>
          <w:rFonts w:hint="eastAsia" w:ascii="宋体" w:hAnsi="宋体" w:cs="Arial"/>
          <w:b/>
          <w:szCs w:val="21"/>
          <w:lang w:val="zh-CN"/>
        </w:rPr>
        <w:t>（二）受理终端的维护</w:t>
      </w:r>
    </w:p>
    <w:p>
      <w:pPr>
        <w:widowControl/>
        <w:spacing w:line="400" w:lineRule="exact"/>
        <w:ind w:firstLine="420" w:firstLineChars="200"/>
        <w:rPr>
          <w:rFonts w:hint="eastAsia" w:ascii="宋体" w:hAnsi="宋体" w:eastAsia="宋体" w:cs="宋体"/>
          <w:color w:val="000000"/>
          <w:kern w:val="0"/>
          <w:szCs w:val="21"/>
          <w:lang w:eastAsia="zh-CN"/>
        </w:rPr>
      </w:pPr>
      <w:r>
        <w:rPr>
          <w:rFonts w:ascii="宋体" w:hAnsi="宋体" w:cs="宋体"/>
          <w:color w:val="000000"/>
          <w:kern w:val="0"/>
          <w:szCs w:val="21"/>
        </w:rPr>
        <w:t>1</w:t>
      </w:r>
      <w:r>
        <w:rPr>
          <w:rFonts w:hint="eastAsia" w:ascii="宋体" w:hAnsi="宋体" w:cs="宋体"/>
          <w:color w:val="000000"/>
          <w:kern w:val="0"/>
          <w:szCs w:val="21"/>
        </w:rPr>
        <w:t>、乙方对受理终端的维护工作，必须满足以下要求：</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1</w:t>
      </w:r>
      <w:r>
        <w:rPr>
          <w:rFonts w:hint="eastAsia" w:ascii="宋体" w:hAnsi="宋体" w:cs="宋体"/>
          <w:color w:val="000000"/>
          <w:kern w:val="0"/>
          <w:szCs w:val="21"/>
        </w:rPr>
        <w:t>）乙方应首先确认甲方或其分支机构已与特约商户签署收单业务合作协议书，并确认在甲方收单系统或银行卡清算机构系统内进行特约商户注册后，再布放受理终端。受理终端应在接到甲方的装机通知后一日内完成受理终端安装和收银员培训工作</w:t>
      </w:r>
      <w:r>
        <w:rPr>
          <w:rFonts w:hint="eastAsia" w:ascii="宋体" w:hAnsi="宋体" w:cs="宋体"/>
          <w:color w:val="000000"/>
          <w:kern w:val="0"/>
          <w:szCs w:val="21"/>
          <w:lang w:eastAsia="zh-CN"/>
        </w:rPr>
        <w:t>。</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）乙方负责受理终端的安装、测试及开通、日常维护、管理保养、耗材提供和上门配送、设备维修和零配件更换</w:t>
      </w:r>
      <w:r>
        <w:rPr>
          <w:rFonts w:hint="eastAsia" w:ascii="宋体" w:hAnsi="宋体" w:cs="宋体"/>
          <w:color w:val="000000"/>
          <w:kern w:val="0"/>
          <w:szCs w:val="21"/>
          <w:lang w:eastAsia="zh-CN"/>
        </w:rPr>
        <w:t>。</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）乙方应建立受理终端台账，及时向甲方提供布放受理终端的准确地址等相关信息及变更情况，并将统计数据报送甲方</w:t>
      </w:r>
      <w:r>
        <w:rPr>
          <w:rFonts w:hint="eastAsia" w:ascii="宋体" w:hAnsi="宋体" w:cs="宋体"/>
          <w:color w:val="000000"/>
          <w:kern w:val="0"/>
          <w:szCs w:val="21"/>
          <w:lang w:eastAsia="zh-CN"/>
        </w:rPr>
        <w:t>。</w:t>
      </w:r>
    </w:p>
    <w:p>
      <w:pPr>
        <w:widowControl/>
        <w:spacing w:line="400" w:lineRule="exact"/>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）乙方未经甲方同意不得对受理终端进行随意更换、转移或加装，不得对终端程序进行修改，</w:t>
      </w:r>
      <w:r>
        <w:rPr>
          <w:rFonts w:hint="eastAsia"/>
        </w:rPr>
        <w:t>不得自行灌装终端程序</w:t>
      </w:r>
      <w:r>
        <w:rPr>
          <w:rFonts w:hint="eastAsia" w:ascii="宋体" w:hAnsi="宋体" w:cs="宋体"/>
          <w:color w:val="000000"/>
          <w:kern w:val="0"/>
          <w:szCs w:val="21"/>
        </w:rPr>
        <w:t>。对于特约商户提出的更换、维护受理终端的要求，需按甲方要求履行必要的核实程序，以避免不法分子冒充特约商户人员利用受理终端进行欺诈；在受理终端上增加任何增值服务项目，需事先征得甲方书面同意，其操作范畴不得违背监管机构的相关规定；如不法分子利用受理终端进行欺诈的，乙方应对甲方承担连带赔偿责任，赔偿甲方因此遭受的损失</w:t>
      </w:r>
      <w:r>
        <w:rPr>
          <w:rFonts w:hint="eastAsia" w:ascii="宋体" w:hAnsi="宋体" w:cs="宋体"/>
          <w:color w:val="000000"/>
          <w:kern w:val="0"/>
          <w:szCs w:val="21"/>
          <w:lang w:eastAsia="zh-CN"/>
        </w:rPr>
        <w:t>。</w:t>
      </w:r>
    </w:p>
    <w:p>
      <w:pPr>
        <w:widowControl/>
        <w:spacing w:line="400" w:lineRule="exact"/>
        <w:ind w:firstLine="422" w:firstLineChars="200"/>
        <w:rPr>
          <w:rFonts w:hint="eastAsia" w:ascii="宋体" w:hAnsi="宋体" w:cs="宋体"/>
          <w:b/>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b/>
          <w:color w:val="000000"/>
          <w:kern w:val="0"/>
          <w:szCs w:val="21"/>
        </w:rPr>
        <w:t>第</w:t>
      </w:r>
      <w:r>
        <w:rPr>
          <w:rFonts w:hint="eastAsia" w:ascii="宋体" w:hAnsi="宋体"/>
          <w:b/>
          <w:color w:val="000000"/>
          <w:kern w:val="0"/>
          <w:szCs w:val="21"/>
          <w:lang w:val="en-US" w:eastAsia="zh-CN"/>
        </w:rPr>
        <w:t>五</w:t>
      </w:r>
      <w:r>
        <w:rPr>
          <w:rFonts w:hint="eastAsia" w:ascii="宋体" w:hAnsi="宋体"/>
          <w:b/>
          <w:color w:val="000000"/>
          <w:kern w:val="0"/>
          <w:szCs w:val="21"/>
        </w:rPr>
        <w:t xml:space="preserve">条 </w:t>
      </w:r>
      <w:r>
        <w:rPr>
          <w:rFonts w:hint="eastAsia" w:ascii="宋体" w:hAnsi="宋体" w:cs="宋体"/>
          <w:b/>
          <w:color w:val="000000"/>
          <w:kern w:val="0"/>
          <w:szCs w:val="21"/>
        </w:rPr>
        <w:t>拓展服务费</w:t>
      </w:r>
      <w:r>
        <w:rPr>
          <w:rFonts w:hint="eastAsia" w:ascii="宋体" w:hAnsi="宋体"/>
          <w:b/>
          <w:color w:val="000000"/>
          <w:kern w:val="0"/>
          <w:szCs w:val="21"/>
        </w:rPr>
        <w:t>（分润）标准</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1.服务费标准如下：</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非封顶的服务费=（商户签约费率-结算成本费率）×有效交易金额×服务费比例。</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封顶的服务费=（单笔签约手续费-单笔标准结算手续费）×有效交易笔数×服务费比例。</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服务费比例如无特殊约定，默认为1</w:t>
      </w:r>
      <w:r>
        <w:rPr>
          <w:rFonts w:ascii="宋体" w:hAnsi="宋体" w:cs="宋体"/>
          <w:color w:val="000000"/>
          <w:kern w:val="0"/>
          <w:szCs w:val="21"/>
        </w:rPr>
        <w:t>00%</w:t>
      </w:r>
      <w:r>
        <w:rPr>
          <w:rFonts w:hint="eastAsia" w:ascii="宋体" w:hAnsi="宋体" w:cs="宋体"/>
          <w:color w:val="000000"/>
          <w:kern w:val="0"/>
          <w:szCs w:val="21"/>
        </w:rPr>
        <w:t>。</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商户签约费率，是指甲方为特约商户提供银行卡收单服务收取的交易手续费率。</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交易金额，是指由乙方拓展的特约商户在合同期限内按照签约费率执行所产生的交易金额。</w:t>
      </w:r>
    </w:p>
    <w:p>
      <w:pPr>
        <w:pStyle w:val="10"/>
        <w:spacing w:line="400" w:lineRule="exact"/>
        <w:rPr>
          <w:rFonts w:ascii="宋体" w:hAnsi="宋体" w:cs="宋体"/>
          <w:color w:val="000000"/>
          <w:kern w:val="0"/>
          <w:szCs w:val="21"/>
        </w:rPr>
      </w:pPr>
      <w:r>
        <w:rPr>
          <w:rFonts w:hint="eastAsia" w:ascii="宋体" w:hAnsi="宋体" w:cs="宋体"/>
          <w:color w:val="000000"/>
          <w:kern w:val="0"/>
          <w:szCs w:val="21"/>
        </w:rPr>
        <w:t>有效交易：持卡人实付金额的成功支付交易，不包括：退款、撤销等反向交易；经甲方或清算机构认定的作弊交易（包括刷单、虚假交易等）。</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商户的手续费标准甲方有权调整，乙方不得提出异议。商户的手续费标准由甲方根据市场变化、营销策略及监管要求等将不定期以拓展政策、公告、通知等形式进行确定或更改，相关内容构成本协议的补充协议，如与本协议内容不同的，以补充协议为准。</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2.结算账户</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甲方指定结算账户：</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户  名：北京海科融通支付服务股份有限公司   </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开户行：北京银行中关村分行营业部           </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账  号：20000004295500000173102            </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乙方指定结算账户：</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户  名：___________________________________</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开户行：___________________________________</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账  号：___________________________________ </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3.结算周期</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如无特殊约定为月结。乙方应在收到甲方的业务服务费数据后的五个工作日内进行核对确认，如对服务费数据持有异议，由甲乙双方进行交易数据的对账处理，并以银行或银联对账的交易数据为准。核对无异议后，乙方向甲方开具增值税发票，甲方核对无误后，于收到发票后的五个工作日内向乙方支付相应的服务费。</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4.结算限额</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乙方的服务费需累计至2000元人民币以上（含本数）时方给予结算；若不足2000元，则延期累计到下期结算。</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5.发票</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发票抬头：北京海科融通支付服务股份有限公司</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发票内容：XXXX年XX月服务费</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b/>
          <w:color w:val="000000"/>
          <w:kern w:val="0"/>
          <w:szCs w:val="21"/>
        </w:rPr>
        <w:t>第</w:t>
      </w:r>
      <w:r>
        <w:rPr>
          <w:rFonts w:hint="eastAsia" w:ascii="宋体" w:hAnsi="宋体"/>
          <w:b/>
          <w:color w:val="000000"/>
          <w:kern w:val="0"/>
          <w:szCs w:val="21"/>
          <w:lang w:val="en-US" w:eastAsia="zh-CN"/>
        </w:rPr>
        <w:t>六</w:t>
      </w:r>
      <w:r>
        <w:rPr>
          <w:rFonts w:hint="eastAsia" w:ascii="宋体" w:hAnsi="宋体"/>
          <w:b/>
          <w:color w:val="000000"/>
          <w:kern w:val="0"/>
          <w:szCs w:val="21"/>
        </w:rPr>
        <w:t>条 违约责任</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（一）甲方违约责任</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甲方未按照约定向乙方提供业务合作相关的文件资料、设备、环境等，甲方承担相应的赔偿责任；</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在乙方没有违约行为的前提下，甲方未按照约定足额、按时向乙方支付服务费，应承担相应的违约责任。</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（二）乙方违约责任</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1.</w:t>
      </w:r>
      <w:r>
        <w:rPr>
          <w:rFonts w:hint="eastAsia" w:ascii="宋体" w:hAnsi="宋体" w:cs="宋体"/>
          <w:color w:val="000000"/>
          <w:kern w:val="0"/>
          <w:szCs w:val="21"/>
        </w:rPr>
        <w:t>如乙方违反下列条款的，甲方有权单方面解除本协议，不向乙方支付相应的服务费；给甲方造成损失的，甲方有权从乙方缴纳的保证金及/或应支付给乙方的服务费等应付款项中扣除相应的金额以弥补损失。以上方式</w:t>
      </w:r>
      <w:r>
        <w:rPr>
          <w:rFonts w:hint="eastAsia" w:ascii="宋体" w:hAnsi="宋体" w:cs="宋体"/>
          <w:color w:val="000000"/>
          <w:szCs w:val="21"/>
        </w:rPr>
        <w:t>不足以弥补甲方损失的，甲方有权要求乙方另行支付，从而赔偿损失</w:t>
      </w:r>
      <w:r>
        <w:rPr>
          <w:rFonts w:hint="eastAsia" w:ascii="宋体" w:hAnsi="宋体" w:cs="宋体"/>
          <w:color w:val="000000"/>
          <w:kern w:val="0"/>
          <w:szCs w:val="21"/>
        </w:rPr>
        <w:t>（</w:t>
      </w:r>
      <w:r>
        <w:rPr>
          <w:rFonts w:hint="eastAsia" w:ascii="宋体" w:hAnsi="宋体" w:cs="宋体"/>
          <w:color w:val="000000"/>
          <w:szCs w:val="21"/>
        </w:rPr>
        <w:t>前述措施可择一或同时适用）</w:t>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（1）乙方违反法律法规、监管机构出台的监管规定、行业自律规范、通知、公告、市场规则及甲方相关制度规定、通知、公告等；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（2）乙方转移甲方特约商户资源，即将甲方存量特约商户转变为其他收单机构的特约商户；</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（3）由乙方原因导致甲方特约商户或持卡人信息泄露的；</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（4）乙方泄露非主密钥或由乙方原因影响网络、系统、机房等各项技术安全的；</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（5）乙方对甲方及特约商户或持卡人进行欺诈；乙方协同特约商户伪造申请资料恶意套取银行资金等；特约商户出现涉嫌欺诈及其他违法行为，乙方知晓却不及时向甲方报告；</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6）乙方在特约商户发展工作中，夸大、歪曲甲方业务范围、能力等情况；超过甲方授权范围向商户进行营销、宣传等活动；就特约商户推荐工作以甲方或己方的名义向商户收取押金、保证金、机具采购款、服务费等名目的费用；</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7）因商户发生风险交易（包括但不限于洗钱、诈骗、从事受理伪卡/盗卡服务、虚假申请、侧录、泄露账户及交易信息、套现、洗单、分单、篡改订单金额、恶意倒闭、虚假交易、超范围使用授权限额、因商户违反操作规范或其他相关规定发生持卡人否认交易的），给甲方、发卡机构或持卡人造成、可能造成损失或造成其他不良影响的；</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）商户对乙方服务质量不满意造成甲方特约商户投诉、流失或转移的；</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 侵犯甲方的商业秘密等保密信息；侵犯</w:t>
      </w:r>
      <w:r>
        <w:rPr>
          <w:rFonts w:hint="eastAsia" w:ascii="宋体" w:hAnsi="宋体" w:cs="宋体"/>
          <w:color w:val="000000"/>
          <w:szCs w:val="21"/>
        </w:rPr>
        <w:t>银联等清算机构、</w:t>
      </w:r>
      <w:r>
        <w:rPr>
          <w:rFonts w:hint="eastAsia" w:ascii="宋体" w:hAnsi="宋体" w:cs="宋体"/>
          <w:color w:val="000000"/>
          <w:kern w:val="0"/>
          <w:szCs w:val="21"/>
        </w:rPr>
        <w:t>甲方的知识产权</w:t>
      </w:r>
      <w:r>
        <w:rPr>
          <w:rFonts w:hint="eastAsia" w:ascii="宋体" w:hAnsi="宋体" w:cs="宋体"/>
          <w:color w:val="000000"/>
          <w:szCs w:val="21"/>
        </w:rPr>
        <w:t>，包括logo、名称、商标等</w:t>
      </w:r>
      <w:r>
        <w:rPr>
          <w:rFonts w:hint="eastAsia" w:ascii="宋体" w:hAnsi="宋体" w:cs="宋体"/>
          <w:color w:val="000000"/>
          <w:kern w:val="0"/>
          <w:szCs w:val="21"/>
        </w:rPr>
        <w:t>；</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）乙方超出甲方授权的区域开展银行卡收单拓展服务业务的；</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r>
        <w:rPr>
          <w:rFonts w:hint="eastAsia" w:ascii="宋体" w:hAnsi="宋体" w:cs="宋体"/>
          <w:color w:val="000000"/>
          <w:kern w:val="0"/>
          <w:szCs w:val="21"/>
        </w:rPr>
        <w:t>）任何违反本协议</w:t>
      </w:r>
      <w:r>
        <w:rPr>
          <w:rFonts w:hint="eastAsia" w:ascii="宋体" w:hAnsi="宋体"/>
          <w:color w:val="000000"/>
          <w:kern w:val="0"/>
          <w:szCs w:val="21"/>
        </w:rPr>
        <w:t>第二条第七款</w:t>
      </w:r>
      <w:r>
        <w:rPr>
          <w:rFonts w:hint="eastAsia" w:ascii="宋体" w:hAnsi="宋体" w:cs="宋体"/>
          <w:color w:val="000000"/>
          <w:kern w:val="0"/>
          <w:szCs w:val="21"/>
        </w:rPr>
        <w:t>的行为。</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由于乙方原因造成甲方受理终端丢失或损坏的，乙方应按照甲方相同受理终端购置金额进行赔偿。</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双方合作终止，乙方未配合甲方处理善后事宜的，甲方有权不向乙方支付未结算的服务费等应付款项，并有权从乙方缴纳的保证金中扣除相应的损失，</w:t>
      </w:r>
      <w:r>
        <w:rPr>
          <w:rFonts w:hint="eastAsia" w:ascii="宋体" w:hAnsi="宋体" w:cs="宋体"/>
          <w:color w:val="000000"/>
          <w:szCs w:val="21"/>
        </w:rPr>
        <w:t>不足以弥补甲方损失的，甲方有权要求乙方另行支付</w:t>
      </w:r>
      <w:r>
        <w:rPr>
          <w:rFonts w:hint="eastAsia" w:ascii="宋体" w:hAnsi="宋体" w:cs="宋体"/>
          <w:color w:val="000000"/>
          <w:kern w:val="0"/>
          <w:szCs w:val="21"/>
        </w:rPr>
        <w:t>。</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b/>
          <w:color w:val="000000"/>
          <w:kern w:val="0"/>
          <w:szCs w:val="21"/>
        </w:rPr>
        <w:t>第</w:t>
      </w:r>
      <w:r>
        <w:rPr>
          <w:rFonts w:hint="eastAsia" w:ascii="宋体" w:hAnsi="宋体"/>
          <w:b/>
          <w:color w:val="000000"/>
          <w:kern w:val="0"/>
          <w:szCs w:val="21"/>
          <w:lang w:val="en-US" w:eastAsia="zh-CN"/>
        </w:rPr>
        <w:t>七</w:t>
      </w:r>
      <w:r>
        <w:rPr>
          <w:rFonts w:hint="eastAsia" w:ascii="宋体" w:hAnsi="宋体"/>
          <w:b/>
          <w:color w:val="000000"/>
          <w:kern w:val="0"/>
          <w:szCs w:val="21"/>
        </w:rPr>
        <w:t>条 保密条款</w:t>
      </w:r>
    </w:p>
    <w:p>
      <w:pPr>
        <w:widowControl/>
        <w:spacing w:line="400" w:lineRule="exact"/>
        <w:ind w:firstLine="420" w:firstLineChars="200"/>
        <w:rPr>
          <w:rFonts w:ascii="宋体" w:hAnsi="宋体"/>
          <w:color w:val="000000"/>
          <w:kern w:val="0"/>
          <w:szCs w:val="21"/>
        </w:rPr>
      </w:pPr>
      <w:r>
        <w:rPr>
          <w:rFonts w:hint="eastAsia" w:ascii="宋体" w:hAnsi="宋体" w:cs="宋体"/>
          <w:color w:val="000000"/>
          <w:kern w:val="0"/>
          <w:szCs w:val="21"/>
        </w:rPr>
        <w:t>1.双方应当对本合同的内容以及在签订、履行本合同过程中知悉或获得的所有有关对方、商户及持卡人的信息(即“保密信息”)予以保密，包括但不限于一方(披露方)向另一方(接受方)直接或间接披露的有关披露方商户的相关信息以及与披露方的业务、业务计划、业务战略、销售情况、营运情况、业务关系、财产、营运模式、</w:t>
      </w:r>
      <w:r>
        <w:rPr>
          <w:rFonts w:hint="eastAsia" w:ascii="宋体" w:hAnsi="宋体" w:cs="宋体"/>
          <w:color w:val="000000"/>
          <w:szCs w:val="21"/>
        </w:rPr>
        <w:t>银行卡收单业务信息、客户资料、管理制度与相关信息、财务信息</w:t>
      </w:r>
      <w:r>
        <w:rPr>
          <w:rFonts w:hint="eastAsia" w:ascii="宋体" w:hAnsi="宋体" w:cs="宋体"/>
          <w:color w:val="000000"/>
          <w:kern w:val="0"/>
          <w:szCs w:val="21"/>
        </w:rPr>
        <w:t>、</w:t>
      </w:r>
      <w:r>
        <w:rPr>
          <w:rFonts w:hint="eastAsia" w:ascii="宋体" w:hAnsi="宋体" w:cs="宋体"/>
          <w:color w:val="000000"/>
          <w:szCs w:val="21"/>
        </w:rPr>
        <w:t>技术信息、</w:t>
      </w:r>
      <w:r>
        <w:rPr>
          <w:rFonts w:hint="eastAsia" w:ascii="宋体" w:hAnsi="宋体" w:cs="宋体"/>
          <w:color w:val="000000"/>
          <w:kern w:val="0"/>
          <w:szCs w:val="21"/>
        </w:rPr>
        <w:t>现有产品或拟开发产品有关的信息，而不论此信息是否由披露方制作。除非该信息是：披露方以书面方式明确注明为非保密性质的信息；或公众已经合法知晓的或通过公开渠道可合法获得的信息；或接受方从有权披露该信息的第三方合法获取的信息，且接受方对该信息无保密义务。</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2.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与本保密条款在实质上相当的书面保密协议。</w:t>
      </w:r>
      <w:r>
        <w:rPr>
          <w:rFonts w:hint="eastAsia" w:ascii="宋体" w:hAnsi="宋体" w:cs="宋体"/>
          <w:color w:val="000000"/>
          <w:kern w:val="0"/>
          <w:szCs w:val="21"/>
        </w:rPr>
        <w:br w:type="textWrapping"/>
      </w:r>
      <w:r>
        <w:rPr>
          <w:rFonts w:ascii="宋体" w:hAnsi="宋体" w:cs="宋体"/>
          <w:color w:val="000000"/>
          <w:kern w:val="0"/>
          <w:szCs w:val="21"/>
        </w:rPr>
        <w:t xml:space="preserve">    3</w:t>
      </w:r>
      <w:r>
        <w:rPr>
          <w:rFonts w:hint="eastAsia" w:ascii="宋体" w:hAnsi="宋体" w:cs="宋体"/>
          <w:color w:val="000000"/>
          <w:kern w:val="0"/>
          <w:szCs w:val="21"/>
        </w:rPr>
        <w:t>.</w:t>
      </w:r>
      <w:r>
        <w:rPr>
          <w:rFonts w:hint="eastAsia" w:ascii="宋体" w:hAnsi="宋体" w:cs="宋体"/>
          <w:color w:val="000000"/>
          <w:szCs w:val="21"/>
        </w:rPr>
        <w:t>双方各自所有的知识产权均归各自所有；未经甲方书面许可，乙方不得以任何方式、在任何场所使用甲方以及银联等清算机构的logo、名称、商标等。</w:t>
      </w:r>
    </w:p>
    <w:p>
      <w:pPr>
        <w:widowControl/>
        <w:spacing w:line="400" w:lineRule="exact"/>
        <w:ind w:firstLine="420" w:firstLineChars="200"/>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.双方有权根据法律法规及监管要求在合理范围内披露相关保密信息。本条款在本协议终止或解除后继续有效。</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b/>
          <w:color w:val="000000"/>
          <w:kern w:val="0"/>
          <w:szCs w:val="21"/>
        </w:rPr>
        <w:t>第</w:t>
      </w:r>
      <w:r>
        <w:rPr>
          <w:rFonts w:hint="eastAsia" w:ascii="宋体" w:hAnsi="宋体"/>
          <w:b/>
          <w:color w:val="000000"/>
          <w:kern w:val="0"/>
          <w:szCs w:val="21"/>
          <w:lang w:val="en-US" w:eastAsia="zh-CN"/>
        </w:rPr>
        <w:t>八</w:t>
      </w:r>
      <w:r>
        <w:rPr>
          <w:rFonts w:hint="eastAsia" w:ascii="宋体" w:hAnsi="宋体"/>
          <w:b/>
          <w:color w:val="000000"/>
          <w:kern w:val="0"/>
          <w:szCs w:val="21"/>
        </w:rPr>
        <w:t>条 协议的补充、变更与终止</w:t>
      </w:r>
    </w:p>
    <w:p>
      <w:pPr>
        <w:pStyle w:val="10"/>
        <w:tabs>
          <w:tab w:val="left" w:pos="360"/>
          <w:tab w:val="left" w:pos="540"/>
        </w:tabs>
        <w:adjustRightInd w:val="0"/>
        <w:snapToGrid w:val="0"/>
        <w:spacing w:line="400" w:lineRule="exact"/>
        <w:rPr>
          <w:rFonts w:ascii="宋体" w:hAnsi="宋体" w:cs="宋体"/>
          <w:bCs/>
          <w:color w:val="000000"/>
          <w:szCs w:val="21"/>
        </w:rPr>
      </w:pPr>
      <w:r>
        <w:rPr>
          <w:rFonts w:hint="eastAsia" w:ascii="宋体" w:hAnsi="宋体" w:cs="宋体"/>
          <w:color w:val="000000"/>
          <w:kern w:val="0"/>
          <w:szCs w:val="21"/>
        </w:rPr>
        <w:t>1.</w:t>
      </w:r>
      <w:r>
        <w:rPr>
          <w:rFonts w:hint="eastAsia" w:ascii="宋体" w:hAnsi="宋体" w:cs="宋体"/>
          <w:bCs/>
          <w:color w:val="000000"/>
          <w:szCs w:val="21"/>
        </w:rPr>
        <w:t>甲方将不时地公布拓展政策作为本协议的的补充协议，对本协议进行修改或补充，相关拓展政策与本协议约定不一致的，以拓展政策的内容为准，拓展政策内容未明确的，以本协议约定的内容为准。</w:t>
      </w:r>
    </w:p>
    <w:p>
      <w:pPr>
        <w:pStyle w:val="10"/>
        <w:tabs>
          <w:tab w:val="left" w:pos="360"/>
          <w:tab w:val="left" w:pos="540"/>
        </w:tabs>
        <w:adjustRightInd w:val="0"/>
        <w:snapToGrid w:val="0"/>
        <w:spacing w:line="400" w:lineRule="exact"/>
        <w:rPr>
          <w:rFonts w:ascii="宋体" w:hAnsi="宋体" w:cs="宋体"/>
          <w:bCs/>
          <w:color w:val="000000"/>
          <w:szCs w:val="21"/>
        </w:rPr>
      </w:pPr>
      <w:r>
        <w:rPr>
          <w:rFonts w:hint="eastAsia" w:ascii="宋体" w:hAnsi="宋体" w:cs="宋体"/>
          <w:bCs/>
          <w:color w:val="000000"/>
          <w:szCs w:val="21"/>
        </w:rPr>
        <w:t>2</w:t>
      </w:r>
      <w:r>
        <w:rPr>
          <w:rFonts w:ascii="宋体" w:hAnsi="宋体" w:cs="宋体"/>
          <w:bCs/>
          <w:color w:val="000000"/>
          <w:szCs w:val="21"/>
        </w:rPr>
        <w:t>.</w:t>
      </w:r>
      <w:r>
        <w:rPr>
          <w:rFonts w:hint="eastAsia" w:ascii="宋体" w:hAnsi="宋体" w:cs="宋体"/>
          <w:bCs/>
          <w:color w:val="000000"/>
          <w:szCs w:val="21"/>
        </w:rPr>
        <w:t>乙方收到拓展政策后，如参与，需要及时签署回执并按照甲方要求的时间交回，否则甲方有权暂缓支付拓展服务费。如甲方根据监管要求或市场行情等进行业务调整必须执行拓展政策，乙方不同意拓展政策的内容，双方无法达成一致的，任何一方可以提前终止本协议并不承担违约责任。</w:t>
      </w:r>
      <w:r>
        <w:rPr>
          <w:rFonts w:hint="eastAsia" w:ascii="宋体" w:hAnsi="宋体" w:cs="宋体"/>
          <w:bCs/>
          <w:color w:val="000000"/>
          <w:szCs w:val="21"/>
        </w:rPr>
        <w:br w:type="textWrapping"/>
      </w:r>
      <w:r>
        <w:rPr>
          <w:rFonts w:ascii="宋体" w:hAnsi="宋体" w:cs="宋体"/>
          <w:color w:val="000000"/>
          <w:kern w:val="0"/>
          <w:szCs w:val="21"/>
        </w:rPr>
        <w:t xml:space="preserve">    3</w:t>
      </w:r>
      <w:r>
        <w:rPr>
          <w:rFonts w:hint="eastAsia" w:ascii="宋体" w:hAnsi="宋体" w:cs="宋体"/>
          <w:color w:val="000000"/>
          <w:kern w:val="0"/>
          <w:szCs w:val="21"/>
        </w:rPr>
        <w:t>.</w:t>
      </w:r>
      <w:r>
        <w:rPr>
          <w:rFonts w:hint="eastAsia" w:ascii="宋体" w:hAnsi="宋体" w:cs="宋体"/>
          <w:bCs/>
          <w:color w:val="000000"/>
          <w:szCs w:val="21"/>
        </w:rPr>
        <w:t>如乙方在开展业务过程中违反法律法规、监管规定、本协议任何约定、附件（包括但不限于甲方相关管理制度、政策、补充协议等）的任何规定，甲方有权随时通知乙方中止或终止合作。本协议于甲方终止合作通知发出之日终止。</w:t>
      </w:r>
    </w:p>
    <w:p>
      <w:pPr>
        <w:widowControl/>
        <w:spacing w:line="400" w:lineRule="exact"/>
        <w:ind w:firstLine="420" w:firstLineChars="200"/>
        <w:rPr>
          <w:rFonts w:ascii="宋体" w:hAnsi="宋体" w:cs="宋体"/>
          <w:color w:val="000000"/>
          <w:kern w:val="0"/>
          <w:szCs w:val="21"/>
        </w:rPr>
      </w:pPr>
      <w:r>
        <w:rPr>
          <w:rFonts w:hint="eastAsia" w:ascii="宋体" w:hAnsi="宋体"/>
          <w:color w:val="000000"/>
          <w:kern w:val="0"/>
          <w:szCs w:val="21"/>
        </w:rPr>
        <w:t>4.</w:t>
      </w:r>
      <w:r>
        <w:rPr>
          <w:rFonts w:hint="eastAsia" w:ascii="宋体" w:hAnsi="宋体" w:cs="宋体"/>
          <w:color w:val="000000"/>
          <w:kern w:val="0"/>
          <w:szCs w:val="21"/>
        </w:rPr>
        <w:t>与保密、赔偿损失等相关的条款不因本协议的解除、终止、变更而失效或终止。</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bCs/>
          <w:szCs w:val="21"/>
        </w:rPr>
      </w:pPr>
      <w:r>
        <w:rPr>
          <w:rFonts w:hint="eastAsia" w:ascii="宋体" w:hAnsi="宋体"/>
          <w:b/>
          <w:bCs/>
          <w:szCs w:val="21"/>
          <w:lang w:val="en-US" w:eastAsia="zh-CN"/>
        </w:rPr>
        <w:t xml:space="preserve">第九条 </w:t>
      </w:r>
      <w:r>
        <w:rPr>
          <w:rFonts w:hint="eastAsia" w:ascii="宋体" w:hAnsi="宋体"/>
          <w:b/>
          <w:bCs/>
          <w:szCs w:val="21"/>
        </w:rPr>
        <w:t>法律的适用与争议的解决</w:t>
      </w:r>
    </w:p>
    <w:p>
      <w:pPr>
        <w:widowControl/>
        <w:spacing w:line="400" w:lineRule="exact"/>
        <w:ind w:firstLine="420" w:firstLineChars="200"/>
        <w:rPr>
          <w:rFonts w:ascii="宋体" w:hAnsi="宋体" w:cs="宋体"/>
          <w:color w:val="000000"/>
          <w:kern w:val="0"/>
          <w:szCs w:val="21"/>
        </w:rPr>
      </w:pPr>
      <w:r>
        <w:rPr>
          <w:rFonts w:ascii="宋体" w:hAnsi="宋体"/>
          <w:bCs/>
          <w:szCs w:val="21"/>
        </w:rPr>
        <w:t>1</w:t>
      </w:r>
      <w:r>
        <w:rPr>
          <w:rFonts w:hint="eastAsia" w:ascii="宋体" w:hAnsi="宋体"/>
          <w:bCs/>
          <w:szCs w:val="21"/>
        </w:rPr>
        <w:t>.</w:t>
      </w:r>
      <w:r>
        <w:rPr>
          <w:rFonts w:hint="eastAsia" w:ascii="宋体" w:hAnsi="宋体" w:cs="宋体"/>
          <w:color w:val="000000"/>
          <w:kern w:val="0"/>
          <w:szCs w:val="21"/>
        </w:rPr>
        <w:t>本协议的所有内容受中华人民共和国法律管辖。</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因本协议的履行引发纠纷的，甲乙双方应协商解决。协商不能达成一致意见时，任何一方均可向</w:t>
      </w:r>
      <w:r>
        <w:rPr>
          <w:rFonts w:hint="eastAsia" w:ascii="宋体" w:hAnsi="宋体" w:cs="宋体"/>
          <w:color w:val="000000"/>
          <w:szCs w:val="21"/>
        </w:rPr>
        <w:t>甲方住所地人民</w:t>
      </w:r>
      <w:r>
        <w:rPr>
          <w:rFonts w:hint="eastAsia" w:ascii="宋体" w:hAnsi="宋体" w:cs="宋体"/>
          <w:color w:val="000000"/>
          <w:kern w:val="0"/>
          <w:szCs w:val="21"/>
        </w:rPr>
        <w:t>法院诉讼解决。</w:t>
      </w:r>
      <w:r>
        <w:rPr>
          <w:rFonts w:hint="eastAsia" w:ascii="宋体" w:hAnsi="宋体" w:cs="宋体"/>
          <w:color w:val="000000"/>
          <w:kern w:val="0"/>
          <w:szCs w:val="21"/>
        </w:rPr>
        <w:br w:type="textWrapping"/>
      </w:r>
      <w:r>
        <w:rPr>
          <w:rFonts w:ascii="宋体" w:hAnsi="宋体" w:cs="宋体"/>
          <w:color w:val="000000"/>
          <w:kern w:val="0"/>
          <w:szCs w:val="21"/>
        </w:rPr>
        <w:t xml:space="preserve">    3</w:t>
      </w:r>
      <w:r>
        <w:rPr>
          <w:rFonts w:hint="eastAsia" w:ascii="宋体" w:hAnsi="宋体" w:cs="宋体"/>
          <w:color w:val="000000"/>
          <w:kern w:val="0"/>
          <w:szCs w:val="21"/>
        </w:rPr>
        <w:t>.当产生任何争议及任何争议正在诉讼时，除争议事项外，双方应继续行使其剩佘的相关权利，履行其合同项下的其他义务。</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cs="宋体"/>
          <w:b/>
          <w:color w:val="000000"/>
          <w:kern w:val="0"/>
          <w:szCs w:val="21"/>
        </w:rPr>
        <w:t>第</w:t>
      </w:r>
      <w:r>
        <w:rPr>
          <w:rFonts w:hint="eastAsia" w:ascii="宋体" w:hAnsi="宋体" w:cs="宋体"/>
          <w:b/>
          <w:color w:val="000000"/>
          <w:kern w:val="0"/>
          <w:szCs w:val="21"/>
          <w:lang w:val="en-US" w:eastAsia="zh-CN"/>
        </w:rPr>
        <w:t>十</w:t>
      </w:r>
      <w:r>
        <w:rPr>
          <w:rFonts w:hint="eastAsia" w:ascii="宋体" w:hAnsi="宋体" w:cs="宋体"/>
          <w:b/>
          <w:color w:val="000000"/>
          <w:kern w:val="0"/>
          <w:szCs w:val="21"/>
        </w:rPr>
        <w:t>条</w:t>
      </w:r>
      <w:r>
        <w:rPr>
          <w:rFonts w:hint="eastAsia" w:ascii="宋体" w:hAnsi="宋体"/>
          <w:b/>
          <w:color w:val="000000"/>
          <w:kern w:val="0"/>
          <w:szCs w:val="21"/>
        </w:rPr>
        <w:t xml:space="preserve"> 协议的生效</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本协议一式贰份，双方各执壹份，经双方法定代表人(负责人)或其授权代理人签字并加盖公章之日起生效。</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2.</w:t>
      </w:r>
      <w:r>
        <w:rPr>
          <w:rFonts w:hint="eastAsia" w:ascii="宋体" w:hAnsi="宋体" w:cs="宋体"/>
          <w:color w:val="000000"/>
          <w:kern w:val="0"/>
          <w:szCs w:val="21"/>
        </w:rPr>
        <w:t>本协议有效期壹年，如协议到期双方无异议，自动顺延相同期限，顺延次数不限。若一方希望不再续约的，该方应在协议到期前至少提前30日以书面形式通知对方。</w:t>
      </w:r>
    </w:p>
    <w:p>
      <w:pPr>
        <w:widowControl/>
        <w:spacing w:line="400" w:lineRule="exact"/>
        <w:ind w:firstLine="420" w:firstLineChars="200"/>
        <w:rPr>
          <w:rFonts w:ascii="宋体" w:hAnsi="宋体" w:cs="宋体"/>
          <w:color w:val="000000"/>
          <w:kern w:val="0"/>
          <w:szCs w:val="21"/>
        </w:rPr>
      </w:pPr>
    </w:p>
    <w:p>
      <w:pPr>
        <w:widowControl/>
        <w:spacing w:line="400" w:lineRule="exact"/>
        <w:ind w:firstLine="422" w:firstLineChars="200"/>
        <w:rPr>
          <w:rFonts w:ascii="宋体" w:hAnsi="宋体"/>
          <w:b/>
          <w:color w:val="000000"/>
          <w:kern w:val="0"/>
          <w:szCs w:val="21"/>
        </w:rPr>
      </w:pPr>
      <w:r>
        <w:rPr>
          <w:rFonts w:hint="eastAsia" w:ascii="宋体" w:hAnsi="宋体" w:cs="宋体"/>
          <w:b/>
          <w:color w:val="000000"/>
          <w:kern w:val="0"/>
          <w:szCs w:val="21"/>
        </w:rPr>
        <w:t>第十</w:t>
      </w:r>
      <w:r>
        <w:rPr>
          <w:rFonts w:hint="eastAsia" w:ascii="宋体" w:hAnsi="宋体" w:cs="宋体"/>
          <w:b/>
          <w:color w:val="000000"/>
          <w:kern w:val="0"/>
          <w:szCs w:val="21"/>
          <w:lang w:val="en-US" w:eastAsia="zh-CN"/>
        </w:rPr>
        <w:t>一</w:t>
      </w:r>
      <w:r>
        <w:rPr>
          <w:rFonts w:hint="eastAsia" w:ascii="宋体" w:hAnsi="宋体" w:cs="宋体"/>
          <w:b/>
          <w:color w:val="000000"/>
          <w:kern w:val="0"/>
          <w:szCs w:val="21"/>
        </w:rPr>
        <w:t>条</w:t>
      </w:r>
      <w:r>
        <w:rPr>
          <w:rFonts w:hint="eastAsia" w:ascii="宋体" w:hAnsi="宋体"/>
          <w:b/>
          <w:color w:val="000000"/>
          <w:kern w:val="0"/>
          <w:szCs w:val="21"/>
        </w:rPr>
        <w:t xml:space="preserve"> 通知与送达</w:t>
      </w:r>
    </w:p>
    <w:p>
      <w:pPr>
        <w:widowControl/>
        <w:spacing w:line="400" w:lineRule="exact"/>
        <w:ind w:firstLine="420" w:firstLineChars="200"/>
        <w:rPr>
          <w:rFonts w:ascii="宋体" w:hAnsi="宋体" w:cs="宋体"/>
          <w:color w:val="000000"/>
          <w:kern w:val="0"/>
          <w:szCs w:val="21"/>
        </w:rPr>
        <w:sectPr>
          <w:headerReference r:id="rId3" w:type="default"/>
          <w:footerReference r:id="rId4" w:type="default"/>
          <w:pgSz w:w="11900" w:h="16840"/>
          <w:pgMar w:top="1440" w:right="1800" w:bottom="1440" w:left="1800" w:header="851" w:footer="992" w:gutter="0"/>
          <w:cols w:space="720" w:num="1"/>
          <w:docGrid w:type="lines" w:linePitch="312" w:charSpace="0"/>
        </w:sectPr>
      </w:pPr>
      <w:r>
        <w:rPr>
          <w:rFonts w:hint="eastAsia" w:ascii="宋体" w:hAnsi="宋体" w:cs="宋体"/>
          <w:color w:val="000000"/>
          <w:kern w:val="0"/>
          <w:szCs w:val="21"/>
        </w:rPr>
        <w:t>1.除非本协议另有约定，本协议项下双方之间的一切通知均可通过挂号信邮递、传真、特快专递、电子邮件送达文首地址。</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2.通知在下列日期视为送达被通知方：</w:t>
      </w:r>
      <w:r>
        <w:rPr>
          <w:rFonts w:hint="eastAsia" w:ascii="宋体" w:hAns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（1）由挂号信邮递，发出通知一方持有的挂号信回执所示日；</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（2）由传真传送，收到成功发送确认后的第1个工作日；</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（3）由特快专递发送，以收件人签收日为送达日，收件人未签收的，以寄出日后第4个工作日为送达日；</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（4）由电子邮件发送，以发送人电脑系统确认邮件已经成功到达对方邮箱后的第1个工作日；</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（5）一方的通讯地址、联系人、联系方式如发生变动，应立即书面通知对方，因未及时通知而造成的损失由变动方自行承担。</w:t>
      </w:r>
      <w:r>
        <w:rPr>
          <w:rFonts w:hint="eastAsia" w:ascii="宋体" w:hAnsi="宋体" w:cs="宋体"/>
          <w:color w:val="000000"/>
          <w:kern w:val="0"/>
          <w:szCs w:val="21"/>
        </w:rPr>
        <w:br w:type="textWrapping"/>
      </w:r>
      <w:r>
        <w:rPr>
          <w:rFonts w:hint="eastAsia" w:ascii="宋体" w:hAnsi="宋体" w:cs="宋体"/>
          <w:color w:val="000000"/>
          <w:kern w:val="0"/>
          <w:szCs w:val="21"/>
        </w:rPr>
        <w:t>【以下无正文】</w:t>
      </w:r>
      <w:r>
        <w:rPr>
          <w:rFonts w:hint="eastAsia" w:ascii="宋体" w:hAnsi="宋体" w:cs="宋体"/>
          <w:color w:val="000000"/>
          <w:kern w:val="0"/>
          <w:szCs w:val="21"/>
        </w:rPr>
        <w:br w:type="textWrapping"/>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以下为签字页</w:t>
      </w:r>
    </w:p>
    <w:p>
      <w:pPr>
        <w:widowControl/>
        <w:spacing w:line="400" w:lineRule="exact"/>
        <w:ind w:firstLine="420" w:firstLineChars="200"/>
        <w:rPr>
          <w:rFonts w:ascii="宋体" w:hAnsi="宋体" w:cs="宋体"/>
          <w:color w:val="000000"/>
          <w:kern w:val="0"/>
          <w:szCs w:val="21"/>
        </w:rPr>
      </w:pPr>
    </w:p>
    <w:p>
      <w:pPr>
        <w:widowControl/>
        <w:spacing w:line="400" w:lineRule="exact"/>
        <w:rPr>
          <w:rFonts w:ascii="宋体" w:hAnsi="宋体" w:cs="宋体"/>
          <w:color w:val="000000"/>
          <w:kern w:val="0"/>
          <w:szCs w:val="21"/>
        </w:rPr>
      </w:pPr>
      <w:r>
        <w:rPr>
          <w:rFonts w:hint="eastAsia" w:ascii="宋体" w:hAnsi="宋体" w:cs="宋体"/>
          <w:color w:val="000000"/>
          <w:kern w:val="0"/>
          <w:szCs w:val="21"/>
        </w:rPr>
        <w:t>甲方：(盖章)</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法定代表人或授权代理人签字：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日期：____年____月____日</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adjustRightInd w:val="0"/>
        <w:spacing w:line="400" w:lineRule="exact"/>
        <w:outlineLvl w:val="0"/>
        <w:rPr>
          <w:rFonts w:ascii="宋体" w:hAnsi="宋体" w:cs="宋体"/>
          <w:color w:val="000000"/>
          <w:kern w:val="0"/>
          <w:szCs w:val="21"/>
        </w:rPr>
      </w:pPr>
      <w:r>
        <w:rPr>
          <w:rFonts w:hint="eastAsia" w:ascii="宋体" w:hAnsi="宋体" w:cs="宋体"/>
          <w:color w:val="000000"/>
          <w:kern w:val="0"/>
          <w:szCs w:val="21"/>
        </w:rPr>
        <w:t>乙方：(盖章)</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法定代表人签字：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日期：____年____月____日</w:t>
      </w: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400" w:lineRule="exact"/>
        <w:outlineLvl w:val="0"/>
        <w:rPr>
          <w:rFonts w:ascii="宋体" w:hAnsi="宋体"/>
          <w:szCs w:val="21"/>
        </w:rPr>
      </w:pPr>
    </w:p>
    <w:p>
      <w:pPr>
        <w:adjustRightInd w:val="0"/>
        <w:spacing w:line="240" w:lineRule="atLeast"/>
        <w:outlineLvl w:val="0"/>
        <w:rPr>
          <w:rFonts w:ascii="宋体" w:hAnsi="宋体"/>
          <w:b/>
          <w:szCs w:val="21"/>
        </w:rPr>
      </w:pPr>
      <w:r>
        <w:rPr>
          <w:rFonts w:hint="eastAsia" w:ascii="宋体" w:hAnsi="宋体"/>
          <w:b/>
          <w:szCs w:val="21"/>
        </w:rPr>
        <w:t xml:space="preserve">附件一：              </w:t>
      </w:r>
    </w:p>
    <w:p>
      <w:pPr>
        <w:adjustRightInd w:val="0"/>
        <w:spacing w:line="240" w:lineRule="atLeast"/>
        <w:jc w:val="center"/>
        <w:outlineLvl w:val="0"/>
        <w:rPr>
          <w:rFonts w:ascii="宋体" w:hAnsi="宋体"/>
          <w:b/>
          <w:szCs w:val="21"/>
        </w:rPr>
      </w:pPr>
      <w:r>
        <w:rPr>
          <w:rFonts w:hint="eastAsia" w:ascii="宋体" w:hAnsi="宋体"/>
          <w:b/>
          <w:szCs w:val="21"/>
        </w:rPr>
        <w:t>服务供应商注册登记信息</w:t>
      </w:r>
    </w:p>
    <w:tbl>
      <w:tblPr>
        <w:tblStyle w:val="6"/>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76"/>
        <w:gridCol w:w="2252"/>
        <w:gridCol w:w="374"/>
        <w:gridCol w:w="1545"/>
        <w:gridCol w:w="440"/>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87" w:type="dxa"/>
            <w:gridSpan w:val="7"/>
            <w:tcBorders>
              <w:top w:val="single" w:color="auto" w:sz="4" w:space="0"/>
              <w:left w:val="single" w:color="auto" w:sz="4" w:space="0"/>
              <w:bottom w:val="single" w:color="auto" w:sz="4" w:space="0"/>
              <w:right w:val="single" w:color="auto" w:sz="4" w:space="0"/>
            </w:tcBorders>
            <w:shd w:val="clear" w:color="auto" w:fill="A6A6A6"/>
            <w:vAlign w:val="center"/>
          </w:tcPr>
          <w:p>
            <w:pPr>
              <w:spacing w:line="240" w:lineRule="atLeast"/>
              <w:rPr>
                <w:rFonts w:ascii="宋体" w:hAnsi="宋体" w:cs="宋体"/>
                <w:b/>
                <w:szCs w:val="21"/>
              </w:rPr>
            </w:pPr>
          </w:p>
          <w:p>
            <w:pPr>
              <w:spacing w:line="240" w:lineRule="atLeast"/>
              <w:rPr>
                <w:rFonts w:ascii="宋体" w:hAnsi="宋体" w:cs="宋体"/>
                <w:b/>
                <w:szCs w:val="21"/>
              </w:rPr>
            </w:pPr>
            <w:r>
              <w:rPr>
                <w:rFonts w:hint="eastAsia" w:ascii="宋体" w:hAnsi="宋体" w:cs="宋体"/>
                <w:b/>
                <w:szCs w:val="21"/>
              </w:rPr>
              <w:t>公司简介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8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b/>
                <w:szCs w:val="21"/>
              </w:rPr>
            </w:pPr>
          </w:p>
          <w:p>
            <w:pPr>
              <w:spacing w:line="240" w:lineRule="atLeast"/>
              <w:rPr>
                <w:rFonts w:ascii="宋体" w:hAnsi="宋体" w:cs="宋体"/>
                <w:b/>
                <w:szCs w:val="21"/>
              </w:rPr>
            </w:pPr>
          </w:p>
          <w:p>
            <w:pPr>
              <w:spacing w:line="240" w:lineRule="atLeast"/>
              <w:rPr>
                <w:rFonts w:ascii="宋体" w:hAnsi="宋体" w:cs="宋体"/>
                <w:b/>
                <w:szCs w:val="21"/>
              </w:rPr>
            </w:pPr>
          </w:p>
          <w:p>
            <w:pPr>
              <w:spacing w:line="240" w:lineRule="atLeas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7" w:type="dxa"/>
            <w:gridSpan w:val="7"/>
            <w:tcBorders>
              <w:top w:val="single" w:color="auto" w:sz="4" w:space="0"/>
              <w:left w:val="single" w:color="auto" w:sz="4" w:space="0"/>
              <w:bottom w:val="single" w:color="auto" w:sz="4" w:space="0"/>
              <w:right w:val="single" w:color="auto" w:sz="4" w:space="0"/>
            </w:tcBorders>
            <w:shd w:val="clear" w:color="auto" w:fill="A6A6A6"/>
            <w:vAlign w:val="center"/>
          </w:tcPr>
          <w:p>
            <w:pPr>
              <w:spacing w:line="240" w:lineRule="atLeast"/>
              <w:rPr>
                <w:rFonts w:ascii="宋体" w:hAnsi="宋体"/>
                <w:szCs w:val="21"/>
              </w:rPr>
            </w:pPr>
            <w:r>
              <w:rPr>
                <w:rFonts w:hint="eastAsia" w:ascii="宋体" w:hAnsi="宋体" w:cs="宋体"/>
                <w:b/>
                <w:szCs w:val="21"/>
              </w:rPr>
              <w:t>工商注册情况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公司全称</w:t>
            </w:r>
          </w:p>
        </w:tc>
        <w:tc>
          <w:tcPr>
            <w:tcW w:w="706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营业执照号码</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税务登记证号码</w:t>
            </w:r>
          </w:p>
        </w:tc>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经营范围</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实际主营业务</w:t>
            </w:r>
          </w:p>
        </w:tc>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法人代表</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身份证号码</w:t>
            </w:r>
          </w:p>
        </w:tc>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联系方式</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邮    编</w:t>
            </w:r>
          </w:p>
        </w:tc>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公司负责人</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联系方式</w:t>
            </w:r>
          </w:p>
        </w:tc>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注册资金</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实收资本</w:t>
            </w:r>
          </w:p>
        </w:tc>
        <w:tc>
          <w:tcPr>
            <w:tcW w:w="237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企业类型</w:t>
            </w:r>
          </w:p>
        </w:tc>
        <w:tc>
          <w:tcPr>
            <w:tcW w:w="706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 股份有限公司 □ 有限责任公司 □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经营地址</w:t>
            </w:r>
          </w:p>
        </w:tc>
        <w:tc>
          <w:tcPr>
            <w:tcW w:w="706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公司网址</w:t>
            </w:r>
          </w:p>
        </w:tc>
        <w:tc>
          <w:tcPr>
            <w:tcW w:w="706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7" w:type="dxa"/>
            <w:gridSpan w:val="7"/>
            <w:tcBorders>
              <w:top w:val="single" w:color="auto" w:sz="4" w:space="0"/>
              <w:left w:val="single" w:color="auto" w:sz="4" w:space="0"/>
              <w:bottom w:val="single" w:color="auto" w:sz="4" w:space="0"/>
              <w:right w:val="single" w:color="auto" w:sz="4" w:space="0"/>
            </w:tcBorders>
            <w:shd w:val="clear" w:color="auto" w:fill="A6A6A6"/>
            <w:vAlign w:val="center"/>
          </w:tcPr>
          <w:p>
            <w:pPr>
              <w:spacing w:line="240" w:lineRule="atLeast"/>
              <w:rPr>
                <w:rFonts w:ascii="宋体" w:hAnsi="宋体" w:cs="宋体"/>
                <w:b/>
                <w:szCs w:val="21"/>
              </w:rPr>
            </w:pPr>
            <w:r>
              <w:rPr>
                <w:rFonts w:hint="eastAsia" w:ascii="宋体" w:hAnsi="宋体" w:cs="宋体"/>
                <w:b/>
                <w:szCs w:val="21"/>
              </w:rPr>
              <w:t>企业基本架构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开业时间</w:t>
            </w:r>
          </w:p>
        </w:tc>
        <w:tc>
          <w:tcPr>
            <w:tcW w:w="225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公司人员</w:t>
            </w:r>
          </w:p>
        </w:tc>
        <w:tc>
          <w:tcPr>
            <w:tcW w:w="28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维护人员</w:t>
            </w:r>
          </w:p>
        </w:tc>
        <w:tc>
          <w:tcPr>
            <w:tcW w:w="225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风控人员</w:t>
            </w:r>
          </w:p>
        </w:tc>
        <w:tc>
          <w:tcPr>
            <w:tcW w:w="28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经营年限</w:t>
            </w:r>
          </w:p>
        </w:tc>
        <w:tc>
          <w:tcPr>
            <w:tcW w:w="225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经营状况</w:t>
            </w:r>
          </w:p>
        </w:tc>
        <w:tc>
          <w:tcPr>
            <w:tcW w:w="28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bookmarkStart w:id="2" w:name="_GoBack"/>
            <w:r>
              <w:rPr>
                <w:rFonts w:hint="eastAsia" w:ascii="宋体" w:hAnsi="宋体" w:cs="宋体"/>
                <w:szCs w:val="21"/>
              </w:rPr>
              <w:t>POS</w:t>
            </w:r>
            <w:bookmarkEnd w:id="2"/>
            <w:r>
              <w:rPr>
                <w:rFonts w:hint="eastAsia" w:ascii="宋体" w:hAnsi="宋体" w:cs="宋体"/>
                <w:szCs w:val="21"/>
              </w:rPr>
              <w:t>收单经验年限</w:t>
            </w:r>
          </w:p>
        </w:tc>
        <w:tc>
          <w:tcPr>
            <w:tcW w:w="225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存量商户数量</w:t>
            </w:r>
          </w:p>
        </w:tc>
        <w:tc>
          <w:tcPr>
            <w:tcW w:w="28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9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r>
              <w:rPr>
                <w:rFonts w:hint="eastAsia" w:ascii="宋体" w:hAnsi="宋体" w:cs="宋体"/>
                <w:szCs w:val="21"/>
              </w:rPr>
              <w:t>现存量商户交易量</w:t>
            </w:r>
          </w:p>
        </w:tc>
        <w:tc>
          <w:tcPr>
            <w:tcW w:w="225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191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c>
          <w:tcPr>
            <w:tcW w:w="281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9087" w:type="dxa"/>
            <w:gridSpan w:val="7"/>
            <w:tcBorders>
              <w:top w:val="single" w:color="auto" w:sz="4" w:space="0"/>
              <w:left w:val="single" w:color="auto" w:sz="4" w:space="0"/>
              <w:bottom w:val="single" w:color="auto" w:sz="4" w:space="0"/>
              <w:right w:val="single" w:color="auto" w:sz="4" w:space="0"/>
            </w:tcBorders>
          </w:tcPr>
          <w:p>
            <w:pPr>
              <w:spacing w:line="240" w:lineRule="atLeast"/>
              <w:rPr>
                <w:rFonts w:ascii="宋体" w:hAnsi="宋体" w:cs="宋体"/>
                <w:szCs w:val="21"/>
              </w:rPr>
            </w:pPr>
            <w:r>
              <w:rPr>
                <w:rFonts w:hint="eastAsia" w:ascii="宋体" w:hAnsi="宋体" w:cs="宋体"/>
                <w:szCs w:val="21"/>
              </w:rPr>
              <w:t>备注：</w:t>
            </w:r>
          </w:p>
        </w:tc>
      </w:tr>
    </w:tbl>
    <w:p>
      <w:pPr>
        <w:adjustRightInd w:val="0"/>
        <w:spacing w:line="240" w:lineRule="atLeast"/>
        <w:outlineLvl w:val="0"/>
        <w:rPr>
          <w:rFonts w:ascii="宋体" w:hAnsi="宋体"/>
          <w:b/>
          <w:sz w:val="18"/>
          <w:szCs w:val="18"/>
        </w:rPr>
      </w:pPr>
    </w:p>
    <w:p>
      <w:pPr>
        <w:adjustRightInd w:val="0"/>
        <w:spacing w:line="240" w:lineRule="atLeast"/>
        <w:outlineLvl w:val="0"/>
        <w:rPr>
          <w:rFonts w:ascii="宋体" w:hAnsi="宋体"/>
          <w:b/>
          <w:sz w:val="18"/>
          <w:szCs w:val="18"/>
        </w:rPr>
      </w:pPr>
    </w:p>
    <w:p>
      <w:pPr>
        <w:spacing w:line="360" w:lineRule="auto"/>
        <w:rPr>
          <w:rFonts w:ascii="宋体" w:hAnsi="宋体" w:cs="宋体"/>
          <w:color w:val="000000"/>
          <w:sz w:val="24"/>
        </w:rPr>
        <w:sectPr>
          <w:pgSz w:w="11906" w:h="16838"/>
          <w:pgMar w:top="1134" w:right="1417" w:bottom="1134" w:left="1417" w:header="851" w:footer="992" w:gutter="0"/>
          <w:cols w:space="720" w:num="1"/>
          <w:docGrid w:type="lines" w:linePitch="312" w:charSpace="0"/>
        </w:sectPr>
      </w:pPr>
    </w:p>
    <w:p>
      <w:pPr>
        <w:adjustRightInd w:val="0"/>
        <w:snapToGrid w:val="0"/>
        <w:spacing w:after="120" w:line="240" w:lineRule="atLeast"/>
        <w:outlineLvl w:val="0"/>
        <w:rPr>
          <w:rFonts w:ascii="宋体" w:hAnsi="宋体"/>
          <w:b/>
          <w:szCs w:val="21"/>
        </w:rPr>
      </w:pPr>
      <w:r>
        <w:rPr>
          <w:rFonts w:hint="eastAsia" w:ascii="宋体" w:hAnsi="宋体"/>
          <w:b/>
          <w:szCs w:val="21"/>
        </w:rPr>
        <w:t>附件二：</w:t>
      </w:r>
    </w:p>
    <w:p>
      <w:pPr>
        <w:spacing w:line="240" w:lineRule="atLeast"/>
        <w:jc w:val="center"/>
        <w:rPr>
          <w:rFonts w:ascii="宋体" w:hAnsi="宋体"/>
          <w:szCs w:val="21"/>
        </w:rPr>
      </w:pPr>
      <w:r>
        <w:rPr>
          <w:rFonts w:hint="eastAsia" w:ascii="宋体" w:hAnsi="宋体"/>
          <w:b/>
          <w:szCs w:val="21"/>
        </w:rPr>
        <w:t>服务供应商</w:t>
      </w:r>
      <w:r>
        <w:rPr>
          <w:rFonts w:hint="eastAsia" w:ascii="宋体" w:hAnsi="宋体" w:cs="宋体"/>
          <w:b/>
          <w:szCs w:val="21"/>
        </w:rPr>
        <w:t>高级管理人员履历表</w:t>
      </w:r>
    </w:p>
    <w:tbl>
      <w:tblPr>
        <w:tblStyle w:val="6"/>
        <w:tblpPr w:leftFromText="180" w:rightFromText="180" w:vertAnchor="text" w:horzAnchor="page" w:tblpX="1215" w:tblpY="304"/>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1800"/>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vAlign w:val="center"/>
          </w:tcPr>
          <w:p>
            <w:pPr>
              <w:widowControl/>
              <w:ind w:firstLine="210" w:firstLineChars="100"/>
              <w:rPr>
                <w:rFonts w:ascii="宋体" w:hAnsi="宋体" w:cs="宋体"/>
                <w:kern w:val="0"/>
                <w:szCs w:val="21"/>
              </w:rPr>
            </w:pPr>
            <w:r>
              <w:rPr>
                <w:rFonts w:hint="eastAsia" w:ascii="宋体" w:hAnsi="宋体" w:cs="宋体"/>
                <w:kern w:val="0"/>
                <w:szCs w:val="21"/>
              </w:rPr>
              <w:t>姓   名</w:t>
            </w:r>
          </w:p>
        </w:tc>
        <w:tc>
          <w:tcPr>
            <w:tcW w:w="2700" w:type="dxa"/>
            <w:vAlign w:val="center"/>
          </w:tcPr>
          <w:p>
            <w:pPr>
              <w:widowControl/>
              <w:rPr>
                <w:rFonts w:ascii="宋体" w:hAnsi="宋体" w:cs="宋体"/>
                <w:kern w:val="0"/>
                <w:szCs w:val="21"/>
              </w:rPr>
            </w:pPr>
          </w:p>
        </w:tc>
        <w:tc>
          <w:tcPr>
            <w:tcW w:w="1800" w:type="dxa"/>
            <w:vAlign w:val="center"/>
          </w:tcPr>
          <w:p>
            <w:pPr>
              <w:widowControl/>
              <w:ind w:firstLine="210" w:firstLineChars="100"/>
              <w:rPr>
                <w:rFonts w:ascii="宋体" w:hAnsi="宋体" w:cs="宋体"/>
                <w:kern w:val="0"/>
                <w:szCs w:val="21"/>
              </w:rPr>
            </w:pPr>
            <w:r>
              <w:rPr>
                <w:rFonts w:hint="eastAsia" w:ascii="宋体" w:hAnsi="宋体" w:cs="宋体"/>
                <w:kern w:val="0"/>
                <w:szCs w:val="21"/>
              </w:rPr>
              <w:t>性   别</w:t>
            </w:r>
          </w:p>
        </w:tc>
        <w:tc>
          <w:tcPr>
            <w:tcW w:w="3519"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28" w:type="dxa"/>
            <w:vAlign w:val="center"/>
          </w:tcPr>
          <w:p>
            <w:pPr>
              <w:widowControl/>
              <w:ind w:firstLine="210" w:firstLineChars="100"/>
              <w:rPr>
                <w:rFonts w:ascii="宋体" w:hAnsi="宋体" w:cs="宋体"/>
                <w:kern w:val="0"/>
                <w:szCs w:val="21"/>
              </w:rPr>
            </w:pPr>
            <w:r>
              <w:rPr>
                <w:rFonts w:hint="eastAsia" w:ascii="宋体" w:hAnsi="宋体" w:cs="宋体"/>
                <w:kern w:val="0"/>
                <w:szCs w:val="21"/>
              </w:rPr>
              <w:t>年   龄</w:t>
            </w:r>
          </w:p>
        </w:tc>
        <w:tc>
          <w:tcPr>
            <w:tcW w:w="2700" w:type="dxa"/>
            <w:vAlign w:val="center"/>
          </w:tcPr>
          <w:p>
            <w:pPr>
              <w:widowControl/>
              <w:rPr>
                <w:rFonts w:ascii="宋体" w:hAnsi="宋体" w:cs="宋体"/>
                <w:kern w:val="0"/>
                <w:szCs w:val="21"/>
              </w:rPr>
            </w:pPr>
          </w:p>
        </w:tc>
        <w:tc>
          <w:tcPr>
            <w:tcW w:w="1800" w:type="dxa"/>
            <w:vAlign w:val="center"/>
          </w:tcPr>
          <w:p>
            <w:pPr>
              <w:widowControl/>
              <w:ind w:firstLine="210" w:firstLineChars="100"/>
              <w:rPr>
                <w:rFonts w:ascii="宋体" w:hAnsi="宋体" w:cs="宋体"/>
                <w:kern w:val="0"/>
                <w:szCs w:val="21"/>
              </w:rPr>
            </w:pPr>
            <w:r>
              <w:rPr>
                <w:rFonts w:hint="eastAsia" w:ascii="宋体" w:hAnsi="宋体" w:cs="宋体"/>
                <w:kern w:val="0"/>
                <w:szCs w:val="21"/>
              </w:rPr>
              <w:t>籍   贯</w:t>
            </w:r>
          </w:p>
        </w:tc>
        <w:tc>
          <w:tcPr>
            <w:tcW w:w="3519"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28" w:type="dxa"/>
            <w:vAlign w:val="center"/>
          </w:tcPr>
          <w:p>
            <w:pPr>
              <w:widowControl/>
              <w:ind w:firstLine="210" w:firstLineChars="100"/>
              <w:rPr>
                <w:rFonts w:ascii="宋体" w:hAnsi="宋体" w:cs="宋体"/>
                <w:kern w:val="0"/>
                <w:szCs w:val="21"/>
              </w:rPr>
            </w:pPr>
            <w:r>
              <w:rPr>
                <w:rFonts w:hint="eastAsia" w:ascii="宋体" w:hAnsi="宋体" w:cs="宋体"/>
                <w:kern w:val="0"/>
                <w:szCs w:val="21"/>
              </w:rPr>
              <w:t>学   历</w:t>
            </w:r>
          </w:p>
        </w:tc>
        <w:tc>
          <w:tcPr>
            <w:tcW w:w="2700" w:type="dxa"/>
            <w:vAlign w:val="center"/>
          </w:tcPr>
          <w:p>
            <w:pPr>
              <w:widowControl/>
              <w:rPr>
                <w:rFonts w:ascii="宋体" w:hAnsi="宋体" w:cs="宋体"/>
                <w:kern w:val="0"/>
                <w:szCs w:val="21"/>
              </w:rPr>
            </w:pPr>
          </w:p>
        </w:tc>
        <w:tc>
          <w:tcPr>
            <w:tcW w:w="1800" w:type="dxa"/>
            <w:vAlign w:val="center"/>
          </w:tcPr>
          <w:p>
            <w:pPr>
              <w:widowControl/>
              <w:ind w:firstLine="210" w:firstLineChars="100"/>
              <w:rPr>
                <w:rFonts w:ascii="宋体" w:hAnsi="宋体" w:cs="宋体"/>
                <w:kern w:val="0"/>
                <w:szCs w:val="21"/>
              </w:rPr>
            </w:pPr>
            <w:r>
              <w:rPr>
                <w:rFonts w:hint="eastAsia" w:ascii="宋体" w:hAnsi="宋体" w:cs="宋体"/>
                <w:kern w:val="0"/>
                <w:szCs w:val="21"/>
              </w:rPr>
              <w:t>专业背景</w:t>
            </w:r>
          </w:p>
        </w:tc>
        <w:tc>
          <w:tcPr>
            <w:tcW w:w="3519"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widowControl/>
              <w:ind w:firstLine="105" w:firstLineChars="50"/>
              <w:rPr>
                <w:rFonts w:ascii="宋体" w:hAnsi="宋体" w:cs="宋体"/>
                <w:kern w:val="0"/>
                <w:szCs w:val="21"/>
              </w:rPr>
            </w:pPr>
            <w:r>
              <w:rPr>
                <w:rFonts w:hint="eastAsia" w:ascii="宋体" w:hAnsi="宋体" w:cs="宋体"/>
                <w:kern w:val="0"/>
                <w:szCs w:val="21"/>
              </w:rPr>
              <w:t>原工作单位</w:t>
            </w:r>
          </w:p>
        </w:tc>
        <w:tc>
          <w:tcPr>
            <w:tcW w:w="8019" w:type="dxa"/>
            <w:gridSpan w:val="3"/>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728" w:type="dxa"/>
            <w:vAlign w:val="center"/>
          </w:tcPr>
          <w:p>
            <w:pPr>
              <w:widowControl/>
              <w:ind w:firstLine="105" w:firstLineChars="50"/>
              <w:rPr>
                <w:rFonts w:ascii="宋体" w:hAnsi="宋体" w:cs="宋体"/>
                <w:kern w:val="0"/>
                <w:szCs w:val="21"/>
              </w:rPr>
            </w:pPr>
            <w:r>
              <w:rPr>
                <w:rFonts w:hint="eastAsia" w:ascii="宋体" w:hAnsi="宋体" w:cs="宋体"/>
                <w:kern w:val="0"/>
                <w:szCs w:val="21"/>
              </w:rPr>
              <w:t xml:space="preserve"> 担任职务</w:t>
            </w:r>
          </w:p>
        </w:tc>
        <w:tc>
          <w:tcPr>
            <w:tcW w:w="2700" w:type="dxa"/>
            <w:vAlign w:val="center"/>
          </w:tcPr>
          <w:p>
            <w:pPr>
              <w:widowControl/>
              <w:rPr>
                <w:rFonts w:ascii="宋体" w:hAnsi="宋体" w:cs="宋体"/>
                <w:kern w:val="0"/>
                <w:szCs w:val="21"/>
              </w:rPr>
            </w:pPr>
          </w:p>
        </w:tc>
        <w:tc>
          <w:tcPr>
            <w:tcW w:w="1800" w:type="dxa"/>
            <w:vAlign w:val="center"/>
          </w:tcPr>
          <w:p>
            <w:pPr>
              <w:widowControl/>
              <w:ind w:firstLine="210" w:firstLineChars="100"/>
              <w:rPr>
                <w:rFonts w:ascii="宋体" w:hAnsi="宋体" w:cs="宋体"/>
                <w:kern w:val="0"/>
                <w:szCs w:val="21"/>
              </w:rPr>
            </w:pPr>
            <w:r>
              <w:rPr>
                <w:rFonts w:hint="eastAsia" w:ascii="宋体" w:hAnsi="宋体" w:cs="宋体"/>
                <w:kern w:val="0"/>
                <w:szCs w:val="21"/>
              </w:rPr>
              <w:t>企业规模</w:t>
            </w:r>
          </w:p>
        </w:tc>
        <w:tc>
          <w:tcPr>
            <w:tcW w:w="3519"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Align w:val="center"/>
          </w:tcPr>
          <w:p>
            <w:pPr>
              <w:widowControl/>
              <w:ind w:firstLine="105" w:firstLineChars="50"/>
              <w:rPr>
                <w:rFonts w:ascii="宋体" w:hAnsi="宋体" w:cs="宋体"/>
                <w:kern w:val="0"/>
                <w:szCs w:val="21"/>
              </w:rPr>
            </w:pPr>
            <w:r>
              <w:rPr>
                <w:rFonts w:hint="eastAsia" w:ascii="宋体" w:hAnsi="宋体" w:cs="宋体"/>
                <w:kern w:val="0"/>
                <w:szCs w:val="21"/>
              </w:rPr>
              <w:t xml:space="preserve"> 从事行业</w:t>
            </w:r>
          </w:p>
        </w:tc>
        <w:tc>
          <w:tcPr>
            <w:tcW w:w="2700" w:type="dxa"/>
            <w:vAlign w:val="center"/>
          </w:tcPr>
          <w:p>
            <w:pPr>
              <w:widowControl/>
              <w:rPr>
                <w:rFonts w:ascii="宋体" w:hAnsi="宋体" w:cs="宋体"/>
                <w:kern w:val="0"/>
                <w:szCs w:val="21"/>
              </w:rPr>
            </w:pPr>
          </w:p>
        </w:tc>
        <w:tc>
          <w:tcPr>
            <w:tcW w:w="1800" w:type="dxa"/>
            <w:vAlign w:val="center"/>
          </w:tcPr>
          <w:p>
            <w:pPr>
              <w:widowControl/>
              <w:rPr>
                <w:rFonts w:ascii="宋体" w:hAnsi="宋体" w:cs="宋体"/>
                <w:kern w:val="0"/>
                <w:szCs w:val="21"/>
              </w:rPr>
            </w:pPr>
            <w:r>
              <w:rPr>
                <w:rFonts w:hint="eastAsia" w:ascii="宋体" w:hAnsi="宋体" w:cs="宋体"/>
                <w:kern w:val="0"/>
                <w:szCs w:val="21"/>
              </w:rPr>
              <w:t>行业从业年数</w:t>
            </w:r>
          </w:p>
        </w:tc>
        <w:tc>
          <w:tcPr>
            <w:tcW w:w="3519"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728" w:type="dxa"/>
            <w:vAlign w:val="center"/>
          </w:tcPr>
          <w:p>
            <w:pPr>
              <w:widowControl/>
              <w:rPr>
                <w:rFonts w:ascii="宋体" w:hAnsi="宋体" w:cs="宋体"/>
                <w:b/>
                <w:kern w:val="0"/>
                <w:szCs w:val="21"/>
              </w:rPr>
            </w:pPr>
            <w:r>
              <w:rPr>
                <w:rFonts w:hint="eastAsia" w:ascii="宋体" w:hAnsi="宋体" w:cs="宋体"/>
                <w:b/>
                <w:kern w:val="0"/>
                <w:szCs w:val="21"/>
              </w:rPr>
              <w:t>教育培训经历</w:t>
            </w:r>
          </w:p>
        </w:tc>
        <w:tc>
          <w:tcPr>
            <w:tcW w:w="8019" w:type="dxa"/>
            <w:gridSpan w:val="3"/>
            <w:vAlign w:val="center"/>
          </w:tcPr>
          <w:p>
            <w:pPr>
              <w:widowControl/>
              <w:ind w:firstLine="105" w:firstLineChars="50"/>
              <w:rPr>
                <w:rFonts w:ascii="宋体" w:hAnsi="宋体" w:cs="Courier New"/>
                <w:kern w:val="0"/>
                <w:szCs w:val="21"/>
              </w:rPr>
            </w:pPr>
            <w:r>
              <w:rPr>
                <w:rFonts w:hint="eastAsia" w:ascii="宋体" w:hAnsi="宋体" w:cs="Courier New"/>
                <w:kern w:val="0"/>
                <w:szCs w:val="21"/>
              </w:rPr>
              <w:t>学习培训期间     院校与机构      学历与学位    专业</w:t>
            </w:r>
          </w:p>
          <w:p>
            <w:pPr>
              <w:widowControl/>
              <w:rPr>
                <w:rFonts w:ascii="宋体" w:hAnsi="宋体" w:cs="宋体"/>
                <w:kern w:val="0"/>
                <w:szCs w:val="21"/>
              </w:rPr>
            </w:pPr>
          </w:p>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728" w:type="dxa"/>
            <w:vAlign w:val="center"/>
          </w:tcPr>
          <w:p>
            <w:pPr>
              <w:widowControl/>
              <w:rPr>
                <w:rFonts w:ascii="宋体" w:hAnsi="宋体" w:cs="宋体"/>
                <w:kern w:val="0"/>
                <w:szCs w:val="21"/>
              </w:rPr>
            </w:pPr>
          </w:p>
          <w:p>
            <w:pPr>
              <w:widowControl/>
              <w:rPr>
                <w:rFonts w:ascii="宋体" w:hAnsi="宋体" w:cs="宋体"/>
                <w:b/>
                <w:kern w:val="0"/>
                <w:szCs w:val="21"/>
              </w:rPr>
            </w:pPr>
            <w:r>
              <w:rPr>
                <w:rFonts w:hint="eastAsia" w:ascii="宋体" w:hAnsi="宋体" w:cs="宋体"/>
                <w:b/>
                <w:kern w:val="0"/>
                <w:szCs w:val="21"/>
              </w:rPr>
              <w:t>工作经历</w:t>
            </w:r>
          </w:p>
        </w:tc>
        <w:tc>
          <w:tcPr>
            <w:tcW w:w="8019" w:type="dxa"/>
            <w:gridSpan w:val="3"/>
            <w:vAlign w:val="center"/>
          </w:tcPr>
          <w:p>
            <w:pPr>
              <w:widowControl/>
              <w:rPr>
                <w:rFonts w:ascii="宋体" w:hAnsi="宋体" w:cs="宋体"/>
                <w:kern w:val="0"/>
                <w:szCs w:val="21"/>
              </w:rPr>
            </w:pPr>
            <w:r>
              <w:rPr>
                <w:rFonts w:hint="eastAsia" w:ascii="宋体" w:hAnsi="宋体" w:cs="宋体"/>
                <w:kern w:val="0"/>
                <w:szCs w:val="21"/>
              </w:rPr>
              <w:t xml:space="preserve"> 工作期间         工作单位         从事行业     担任职务</w:t>
            </w:r>
          </w:p>
          <w:p>
            <w:pPr>
              <w:widowControl/>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28" w:type="dxa"/>
            <w:vAlign w:val="center"/>
          </w:tcPr>
          <w:p>
            <w:pPr>
              <w:widowControl/>
              <w:rPr>
                <w:rFonts w:ascii="宋体" w:hAnsi="宋体" w:cs="宋体"/>
                <w:kern w:val="0"/>
                <w:szCs w:val="21"/>
              </w:rPr>
            </w:pPr>
          </w:p>
          <w:p>
            <w:pPr>
              <w:widowControl/>
              <w:rPr>
                <w:rFonts w:ascii="宋体" w:hAnsi="宋体" w:cs="宋体"/>
                <w:b/>
                <w:kern w:val="0"/>
                <w:szCs w:val="21"/>
              </w:rPr>
            </w:pPr>
            <w:r>
              <w:rPr>
                <w:rFonts w:hint="eastAsia" w:ascii="宋体" w:hAnsi="宋体" w:cs="宋体"/>
                <w:b/>
                <w:kern w:val="0"/>
                <w:szCs w:val="21"/>
              </w:rPr>
              <w:t>重要工作业绩</w:t>
            </w:r>
          </w:p>
        </w:tc>
        <w:tc>
          <w:tcPr>
            <w:tcW w:w="8019" w:type="dxa"/>
            <w:gridSpan w:val="3"/>
            <w:vAlign w:val="center"/>
          </w:tcPr>
          <w:p>
            <w:pPr>
              <w:widowControl/>
              <w:rPr>
                <w:rFonts w:ascii="宋体" w:hAnsi="宋体" w:cs="宋体"/>
                <w:kern w:val="0"/>
                <w:szCs w:val="21"/>
              </w:rPr>
            </w:pPr>
          </w:p>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728" w:type="dxa"/>
            <w:vAlign w:val="center"/>
          </w:tcPr>
          <w:p>
            <w:pPr>
              <w:widowControl/>
              <w:ind w:firstLine="211" w:firstLineChars="100"/>
              <w:rPr>
                <w:rFonts w:ascii="宋体" w:hAnsi="宋体" w:cs="宋体"/>
                <w:b/>
                <w:kern w:val="0"/>
                <w:szCs w:val="21"/>
              </w:rPr>
            </w:pPr>
            <w:r>
              <w:rPr>
                <w:rFonts w:hint="eastAsia" w:ascii="宋体" w:hAnsi="宋体" w:cs="宋体"/>
                <w:b/>
                <w:kern w:val="0"/>
                <w:szCs w:val="21"/>
              </w:rPr>
              <w:t>荣誉和奖励</w:t>
            </w:r>
          </w:p>
        </w:tc>
        <w:tc>
          <w:tcPr>
            <w:tcW w:w="8019" w:type="dxa"/>
            <w:gridSpan w:val="3"/>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728" w:type="dxa"/>
            <w:vAlign w:val="center"/>
          </w:tcPr>
          <w:p>
            <w:pPr>
              <w:widowControl/>
              <w:rPr>
                <w:rFonts w:ascii="宋体" w:hAnsi="宋体" w:cs="宋体"/>
                <w:b/>
                <w:kern w:val="0"/>
                <w:szCs w:val="21"/>
              </w:rPr>
            </w:pPr>
            <w:r>
              <w:rPr>
                <w:rFonts w:hint="eastAsia" w:ascii="宋体" w:hAnsi="宋体" w:cs="宋体"/>
                <w:b/>
                <w:kern w:val="0"/>
                <w:szCs w:val="21"/>
              </w:rPr>
              <w:t>真实性承诺</w:t>
            </w:r>
          </w:p>
        </w:tc>
        <w:tc>
          <w:tcPr>
            <w:tcW w:w="8019" w:type="dxa"/>
            <w:gridSpan w:val="3"/>
            <w:vAlign w:val="center"/>
          </w:tcPr>
          <w:p>
            <w:pPr>
              <w:widowControl/>
              <w:rPr>
                <w:rFonts w:ascii="宋体" w:hAnsi="宋体" w:cs="宋体"/>
                <w:kern w:val="0"/>
                <w:szCs w:val="21"/>
              </w:rPr>
            </w:pPr>
            <w:r>
              <w:rPr>
                <w:rFonts w:hint="eastAsia" w:ascii="宋体" w:hAnsi="宋体" w:cs="宋体"/>
                <w:kern w:val="0"/>
                <w:szCs w:val="21"/>
              </w:rPr>
              <w:t>本人承诺上述填写内容真实</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r>
              <w:rPr>
                <w:rFonts w:hint="eastAsia" w:ascii="宋体" w:hAnsi="宋体" w:cs="宋体"/>
                <w:kern w:val="0"/>
                <w:szCs w:val="21"/>
              </w:rPr>
              <w:t xml:space="preserve">签名：  </w:t>
            </w:r>
          </w:p>
          <w:p>
            <w:pPr>
              <w:widowControl/>
              <w:rPr>
                <w:rFonts w:ascii="宋体" w:hAnsi="宋体" w:cs="宋体"/>
                <w:kern w:val="0"/>
                <w:szCs w:val="21"/>
              </w:rPr>
            </w:pPr>
            <w:r>
              <w:rPr>
                <w:rFonts w:hint="eastAsia" w:ascii="宋体" w:hAnsi="宋体" w:cs="宋体"/>
                <w:kern w:val="0"/>
                <w:szCs w:val="21"/>
              </w:rPr>
              <w:t xml:space="preserve">                                         年    月    日                                               </w:t>
            </w:r>
          </w:p>
        </w:tc>
      </w:tr>
    </w:tbl>
    <w:p>
      <w:pPr>
        <w:widowControl/>
        <w:jc w:val="left"/>
        <w:rPr>
          <w:rFonts w:ascii="宋体" w:hAnsi="宋体"/>
          <w:b/>
          <w:szCs w:val="21"/>
        </w:rPr>
      </w:pPr>
    </w:p>
    <w:p>
      <w:pPr>
        <w:widowControl/>
        <w:jc w:val="left"/>
        <w:rPr>
          <w:rFonts w:ascii="宋体" w:hAnsi="宋体"/>
          <w:b/>
          <w:sz w:val="18"/>
          <w:szCs w:val="18"/>
        </w:rPr>
      </w:pPr>
    </w:p>
    <w:p>
      <w:pPr>
        <w:adjustRightInd w:val="0"/>
        <w:snapToGrid w:val="0"/>
        <w:spacing w:after="120" w:line="240" w:lineRule="atLeast"/>
        <w:outlineLvl w:val="0"/>
        <w:rPr>
          <w:rFonts w:ascii="宋体" w:hAnsi="宋体"/>
          <w:b/>
          <w:sz w:val="18"/>
          <w:szCs w:val="18"/>
        </w:rPr>
      </w:pPr>
    </w:p>
    <w:p>
      <w:pPr>
        <w:adjustRightInd w:val="0"/>
        <w:snapToGrid w:val="0"/>
        <w:spacing w:after="120" w:line="240" w:lineRule="atLeast"/>
        <w:outlineLvl w:val="0"/>
        <w:rPr>
          <w:rFonts w:ascii="宋体" w:hAnsi="宋体"/>
          <w:b/>
          <w:szCs w:val="21"/>
        </w:rPr>
      </w:pPr>
      <w:bookmarkStart w:id="0" w:name="_Toc381788335"/>
      <w:bookmarkStart w:id="1" w:name="_Toc381101438"/>
    </w:p>
    <w:p>
      <w:pPr>
        <w:adjustRightInd w:val="0"/>
        <w:snapToGrid w:val="0"/>
        <w:spacing w:after="120" w:line="240" w:lineRule="atLeast"/>
        <w:outlineLvl w:val="0"/>
        <w:rPr>
          <w:rFonts w:ascii="宋体" w:hAnsi="宋体"/>
          <w:b/>
          <w:szCs w:val="21"/>
        </w:rPr>
      </w:pPr>
    </w:p>
    <w:p>
      <w:pPr>
        <w:adjustRightInd w:val="0"/>
        <w:snapToGrid w:val="0"/>
        <w:spacing w:after="120" w:line="240" w:lineRule="atLeast"/>
        <w:outlineLvl w:val="0"/>
        <w:rPr>
          <w:rFonts w:ascii="宋体" w:hAnsi="宋体"/>
          <w:b/>
          <w:szCs w:val="21"/>
        </w:rPr>
      </w:pPr>
    </w:p>
    <w:p>
      <w:pPr>
        <w:adjustRightInd w:val="0"/>
        <w:snapToGrid w:val="0"/>
        <w:spacing w:after="120" w:line="240" w:lineRule="atLeast"/>
        <w:outlineLvl w:val="0"/>
        <w:rPr>
          <w:rFonts w:ascii="宋体" w:hAnsi="宋体"/>
          <w:b/>
          <w:szCs w:val="21"/>
        </w:rPr>
      </w:pPr>
    </w:p>
    <w:p>
      <w:pPr>
        <w:adjustRightInd w:val="0"/>
        <w:snapToGrid w:val="0"/>
        <w:spacing w:after="120" w:line="240" w:lineRule="atLeast"/>
        <w:outlineLvl w:val="0"/>
        <w:rPr>
          <w:rFonts w:ascii="宋体" w:hAnsi="宋体"/>
          <w:b/>
          <w:szCs w:val="21"/>
        </w:rPr>
      </w:pPr>
    </w:p>
    <w:p>
      <w:pPr>
        <w:adjustRightInd w:val="0"/>
        <w:snapToGrid w:val="0"/>
        <w:spacing w:after="120" w:line="240" w:lineRule="atLeast"/>
        <w:outlineLvl w:val="0"/>
        <w:rPr>
          <w:rFonts w:ascii="宋体" w:hAnsi="宋体"/>
          <w:b/>
          <w:szCs w:val="21"/>
        </w:rPr>
      </w:pPr>
    </w:p>
    <w:p>
      <w:pPr>
        <w:adjustRightInd w:val="0"/>
        <w:snapToGrid w:val="0"/>
        <w:spacing w:after="120" w:line="240" w:lineRule="atLeast"/>
        <w:outlineLvl w:val="0"/>
        <w:rPr>
          <w:rFonts w:ascii="宋体" w:hAnsi="宋体"/>
          <w:b/>
          <w:szCs w:val="21"/>
        </w:rPr>
      </w:pPr>
      <w:r>
        <w:rPr>
          <w:rFonts w:hint="eastAsia" w:ascii="宋体" w:hAnsi="宋体"/>
          <w:b/>
          <w:szCs w:val="21"/>
        </w:rPr>
        <w:t>附件三：</w:t>
      </w:r>
      <w:bookmarkEnd w:id="0"/>
      <w:bookmarkEnd w:id="1"/>
    </w:p>
    <w:p>
      <w:pPr>
        <w:spacing w:line="240" w:lineRule="atLeast"/>
        <w:jc w:val="center"/>
        <w:rPr>
          <w:rFonts w:ascii="宋体" w:hAnsi="宋体"/>
          <w:b/>
          <w:szCs w:val="21"/>
        </w:rPr>
      </w:pPr>
      <w:r>
        <w:rPr>
          <w:rFonts w:hint="eastAsia" w:ascii="宋体" w:hAnsi="宋体"/>
          <w:b/>
          <w:szCs w:val="21"/>
        </w:rPr>
        <w:t>服务供应商实地考察调查表</w:t>
      </w:r>
    </w:p>
    <w:p>
      <w:pPr>
        <w:spacing w:line="240" w:lineRule="atLeast"/>
        <w:rPr>
          <w:rFonts w:ascii="宋体" w:hAnsi="宋体"/>
          <w:szCs w:val="21"/>
        </w:rPr>
      </w:pPr>
      <w:r>
        <w:rPr>
          <w:rFonts w:hint="eastAsia" w:ascii="宋体" w:hAnsi="宋体"/>
          <w:b/>
          <w:szCs w:val="21"/>
        </w:rPr>
        <w:t>1．基本信息</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5"/>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2"/>
            <w:vAlign w:val="center"/>
          </w:tcPr>
          <w:p>
            <w:pPr>
              <w:spacing w:line="240" w:lineRule="atLeast"/>
              <w:rPr>
                <w:rFonts w:ascii="宋体" w:hAnsi="宋体"/>
                <w:szCs w:val="21"/>
              </w:rPr>
            </w:pPr>
            <w:r>
              <w:rPr>
                <w:rFonts w:hint="eastAsia" w:ascii="宋体" w:hAnsi="宋体"/>
                <w:szCs w:val="21"/>
              </w:rPr>
              <w:t>服务供应商名称（营业执照注册名）：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5" w:type="dxa"/>
            <w:vAlign w:val="center"/>
          </w:tcPr>
          <w:p>
            <w:pPr>
              <w:tabs>
                <w:tab w:val="right" w:pos="4048"/>
              </w:tabs>
              <w:spacing w:line="240" w:lineRule="atLeast"/>
              <w:rPr>
                <w:rFonts w:ascii="宋体" w:hAnsi="宋体"/>
                <w:szCs w:val="21"/>
              </w:rPr>
            </w:pPr>
            <w:r>
              <w:rPr>
                <w:rFonts w:hint="eastAsia" w:ascii="宋体" w:hAnsi="宋体"/>
                <w:szCs w:val="21"/>
              </w:rPr>
              <w:t>注册登记号：</w:t>
            </w:r>
            <w:r>
              <w:rPr>
                <w:rFonts w:hint="eastAsia" w:ascii="宋体" w:hAnsi="宋体"/>
                <w:szCs w:val="21"/>
              </w:rPr>
              <w:tab/>
            </w:r>
          </w:p>
        </w:tc>
        <w:tc>
          <w:tcPr>
            <w:tcW w:w="4853" w:type="dxa"/>
            <w:vAlign w:val="center"/>
          </w:tcPr>
          <w:p>
            <w:pPr>
              <w:spacing w:line="240" w:lineRule="atLeast"/>
              <w:rPr>
                <w:rFonts w:ascii="宋体" w:hAnsi="宋体"/>
                <w:szCs w:val="21"/>
              </w:rPr>
            </w:pPr>
            <w:r>
              <w:rPr>
                <w:rFonts w:hint="eastAsia" w:ascii="宋体" w:hAnsi="宋体"/>
                <w:szCs w:val="21"/>
              </w:rPr>
              <w:t>税务登记号：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435" w:type="dxa"/>
            <w:vAlign w:val="center"/>
          </w:tcPr>
          <w:p>
            <w:pPr>
              <w:spacing w:line="240" w:lineRule="atLeast"/>
              <w:rPr>
                <w:rFonts w:ascii="宋体" w:hAnsi="宋体"/>
                <w:szCs w:val="21"/>
              </w:rPr>
            </w:pPr>
            <w:r>
              <w:rPr>
                <w:rFonts w:hint="eastAsia" w:ascii="宋体" w:hAnsi="宋体"/>
                <w:szCs w:val="21"/>
              </w:rPr>
              <w:t>注册地址：</w:t>
            </w:r>
          </w:p>
        </w:tc>
        <w:tc>
          <w:tcPr>
            <w:tcW w:w="4853" w:type="dxa"/>
            <w:vAlign w:val="center"/>
          </w:tcPr>
          <w:p>
            <w:pPr>
              <w:spacing w:line="240" w:lineRule="atLeast"/>
              <w:rPr>
                <w:rFonts w:ascii="宋体" w:hAnsi="宋体"/>
                <w:szCs w:val="21"/>
              </w:rPr>
            </w:pPr>
            <w:r>
              <w:rPr>
                <w:rFonts w:hint="eastAsia" w:ascii="宋体" w:hAnsi="宋体"/>
                <w:szCs w:val="21"/>
              </w:rPr>
              <w:t>营业地址：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35" w:type="dxa"/>
            <w:vAlign w:val="center"/>
          </w:tcPr>
          <w:p>
            <w:pPr>
              <w:spacing w:line="240" w:lineRule="atLeast"/>
              <w:rPr>
                <w:rFonts w:ascii="宋体" w:hAnsi="宋体"/>
                <w:szCs w:val="21"/>
              </w:rPr>
            </w:pPr>
            <w:r>
              <w:rPr>
                <w:rFonts w:hint="eastAsia" w:ascii="宋体" w:hAnsi="宋体"/>
                <w:szCs w:val="21"/>
              </w:rPr>
              <w:t>法人代表：</w:t>
            </w:r>
          </w:p>
        </w:tc>
        <w:tc>
          <w:tcPr>
            <w:tcW w:w="4853" w:type="dxa"/>
            <w:vAlign w:val="center"/>
          </w:tcPr>
          <w:p>
            <w:pPr>
              <w:spacing w:line="240" w:lineRule="atLeast"/>
              <w:rPr>
                <w:rFonts w:ascii="宋体" w:hAnsi="宋体"/>
                <w:szCs w:val="21"/>
              </w:rPr>
            </w:pPr>
            <w:r>
              <w:rPr>
                <w:rFonts w:hint="eastAsia" w:ascii="宋体" w:hAnsi="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435" w:type="dxa"/>
            <w:vAlign w:val="center"/>
          </w:tcPr>
          <w:p>
            <w:pPr>
              <w:spacing w:line="240" w:lineRule="atLeast"/>
              <w:rPr>
                <w:rFonts w:ascii="宋体" w:hAnsi="宋体"/>
                <w:szCs w:val="21"/>
              </w:rPr>
            </w:pPr>
            <w:r>
              <w:rPr>
                <w:rFonts w:hint="eastAsia" w:ascii="宋体" w:hAnsi="宋体"/>
                <w:szCs w:val="21"/>
              </w:rPr>
              <w:t>联系电话：</w:t>
            </w:r>
          </w:p>
        </w:tc>
        <w:tc>
          <w:tcPr>
            <w:tcW w:w="4853" w:type="dxa"/>
            <w:vAlign w:val="center"/>
          </w:tcPr>
          <w:p>
            <w:pPr>
              <w:spacing w:line="240" w:lineRule="atLeast"/>
              <w:rPr>
                <w:rFonts w:ascii="宋体" w:hAnsi="宋体"/>
                <w:szCs w:val="21"/>
              </w:rPr>
            </w:pPr>
            <w:r>
              <w:rPr>
                <w:rFonts w:hint="eastAsia" w:ascii="宋体" w:hAnsi="宋体"/>
                <w:szCs w:val="21"/>
              </w:rPr>
              <w:t>传真号码：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5" w:type="dxa"/>
            <w:vAlign w:val="center"/>
          </w:tcPr>
          <w:p>
            <w:pPr>
              <w:spacing w:line="240" w:lineRule="atLeast"/>
              <w:rPr>
                <w:rFonts w:ascii="宋体" w:hAnsi="宋体"/>
                <w:szCs w:val="21"/>
              </w:rPr>
            </w:pPr>
            <w:r>
              <w:rPr>
                <w:rFonts w:hint="eastAsia" w:ascii="宋体" w:hAnsi="宋体"/>
                <w:szCs w:val="21"/>
              </w:rPr>
              <w:t>注册资本：   万</w:t>
            </w:r>
          </w:p>
        </w:tc>
        <w:tc>
          <w:tcPr>
            <w:tcW w:w="4853" w:type="dxa"/>
            <w:vAlign w:val="center"/>
          </w:tcPr>
          <w:p>
            <w:pPr>
              <w:spacing w:line="240" w:lineRule="atLeast"/>
              <w:rPr>
                <w:rFonts w:ascii="宋体" w:hAnsi="宋体"/>
                <w:szCs w:val="21"/>
              </w:rPr>
            </w:pPr>
            <w:r>
              <w:rPr>
                <w:rFonts w:hint="eastAsia" w:ascii="宋体" w:hAnsi="宋体"/>
                <w:szCs w:val="21"/>
              </w:rPr>
              <w:t>开业时间：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2"/>
            <w:vAlign w:val="center"/>
          </w:tcPr>
          <w:p>
            <w:pPr>
              <w:spacing w:line="240" w:lineRule="atLeast"/>
              <w:rPr>
                <w:rFonts w:ascii="宋体" w:hAnsi="宋体"/>
                <w:szCs w:val="21"/>
              </w:rPr>
            </w:pPr>
            <w:r>
              <w:rPr>
                <w:rFonts w:hint="eastAsia" w:ascii="宋体" w:hAnsi="宋体"/>
                <w:szCs w:val="21"/>
              </w:rPr>
              <w:t xml:space="preserve">风险准备金：     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2"/>
            <w:vAlign w:val="center"/>
          </w:tcPr>
          <w:p>
            <w:pPr>
              <w:spacing w:line="240" w:lineRule="atLeast"/>
              <w:rPr>
                <w:rFonts w:ascii="宋体" w:hAnsi="宋体"/>
                <w:szCs w:val="21"/>
              </w:rPr>
            </w:pPr>
            <w:r>
              <w:rPr>
                <w:rFonts w:hint="eastAsia" w:ascii="宋体" w:hAnsi="宋体"/>
                <w:szCs w:val="21"/>
              </w:rPr>
              <w:t>合作服务供应商性质：□国营  □集体  □私营  □合资  □股份制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2"/>
            <w:vAlign w:val="center"/>
          </w:tcPr>
          <w:p>
            <w:pPr>
              <w:spacing w:line="240" w:lineRule="atLeast"/>
              <w:rPr>
                <w:rFonts w:ascii="宋体" w:hAnsi="宋体"/>
                <w:szCs w:val="21"/>
              </w:rPr>
            </w:pPr>
            <w:r>
              <w:rPr>
                <w:rFonts w:hint="eastAsia" w:ascii="宋体" w:hAnsi="宋体"/>
                <w:szCs w:val="21"/>
              </w:rPr>
              <w:t>授权区域：         省        市（直辖市）</w:t>
            </w:r>
          </w:p>
        </w:tc>
      </w:tr>
    </w:tbl>
    <w:p>
      <w:pPr>
        <w:spacing w:line="240" w:lineRule="atLeast"/>
        <w:rPr>
          <w:rFonts w:ascii="宋体" w:hAnsi="宋体"/>
          <w:szCs w:val="21"/>
        </w:rPr>
      </w:pPr>
      <w:r>
        <w:rPr>
          <w:rFonts w:hint="eastAsia" w:ascii="宋体" w:hAnsi="宋体"/>
          <w:b/>
          <w:szCs w:val="21"/>
        </w:rPr>
        <w:t>2．服务供应商收单经验信息</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5"/>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4195" w:type="dxa"/>
            <w:vAlign w:val="center"/>
          </w:tcPr>
          <w:p>
            <w:pPr>
              <w:spacing w:line="240" w:lineRule="atLeast"/>
              <w:rPr>
                <w:rFonts w:ascii="宋体" w:hAnsi="宋体"/>
                <w:szCs w:val="21"/>
              </w:rPr>
            </w:pPr>
            <w:r>
              <w:rPr>
                <w:rFonts w:hint="eastAsia" w:ascii="宋体" w:hAnsi="宋体"/>
                <w:szCs w:val="21"/>
              </w:rPr>
              <w:t>是否有内卡收单经验：□ 有　□ 无</w:t>
            </w:r>
          </w:p>
          <w:p>
            <w:pPr>
              <w:spacing w:line="240" w:lineRule="atLeast"/>
              <w:rPr>
                <w:rFonts w:ascii="宋体" w:hAnsi="宋体"/>
                <w:szCs w:val="21"/>
              </w:rPr>
            </w:pPr>
            <w:r>
              <w:rPr>
                <w:rFonts w:hint="eastAsia" w:ascii="宋体" w:hAnsi="宋体"/>
                <w:szCs w:val="21"/>
              </w:rPr>
              <w:t>开始收单日期：</w:t>
            </w:r>
          </w:p>
          <w:p>
            <w:pPr>
              <w:spacing w:line="240" w:lineRule="atLeast"/>
              <w:rPr>
                <w:rFonts w:ascii="宋体" w:hAnsi="宋体"/>
                <w:szCs w:val="21"/>
              </w:rPr>
            </w:pPr>
            <w:r>
              <w:rPr>
                <w:rFonts w:hint="eastAsia" w:ascii="宋体" w:hAnsi="宋体"/>
                <w:szCs w:val="21"/>
              </w:rPr>
              <w:t>收单伙伴：</w:t>
            </w:r>
          </w:p>
        </w:tc>
        <w:tc>
          <w:tcPr>
            <w:tcW w:w="5093" w:type="dxa"/>
            <w:tcBorders>
              <w:bottom w:val="single" w:color="auto" w:sz="4" w:space="0"/>
            </w:tcBorders>
            <w:vAlign w:val="center"/>
          </w:tcPr>
          <w:p>
            <w:pPr>
              <w:spacing w:line="240" w:lineRule="atLeast"/>
              <w:rPr>
                <w:rFonts w:ascii="宋体" w:hAnsi="宋体"/>
                <w:szCs w:val="21"/>
              </w:rPr>
            </w:pPr>
            <w:r>
              <w:rPr>
                <w:rFonts w:hint="eastAsia" w:ascii="宋体" w:hAnsi="宋体"/>
                <w:szCs w:val="21"/>
              </w:rPr>
              <w:t>是否有外卡收单经验：□ 有　□ 无</w:t>
            </w:r>
          </w:p>
          <w:p>
            <w:pPr>
              <w:spacing w:line="240" w:lineRule="atLeast"/>
              <w:rPr>
                <w:rFonts w:ascii="宋体" w:hAnsi="宋体"/>
                <w:szCs w:val="21"/>
              </w:rPr>
            </w:pPr>
            <w:r>
              <w:rPr>
                <w:rFonts w:hint="eastAsia" w:ascii="宋体" w:hAnsi="宋体"/>
                <w:szCs w:val="21"/>
              </w:rPr>
              <w:t>开始收单日期：</w:t>
            </w:r>
          </w:p>
          <w:p>
            <w:pPr>
              <w:spacing w:line="240" w:lineRule="atLeast"/>
              <w:rPr>
                <w:rFonts w:ascii="宋体" w:hAnsi="宋体"/>
                <w:szCs w:val="21"/>
              </w:rPr>
            </w:pPr>
            <w:r>
              <w:rPr>
                <w:rFonts w:hint="eastAsia" w:ascii="宋体" w:hAnsi="宋体"/>
                <w:szCs w:val="21"/>
              </w:rPr>
              <w:t>收单伙伴：</w:t>
            </w:r>
          </w:p>
          <w:p>
            <w:pPr>
              <w:spacing w:line="240" w:lineRule="atLeast"/>
              <w:rPr>
                <w:rFonts w:ascii="宋体" w:hAnsi="宋体"/>
                <w:szCs w:val="21"/>
              </w:rPr>
            </w:pPr>
            <w:r>
              <w:rPr>
                <w:rFonts w:hint="eastAsia" w:ascii="宋体" w:hAnsi="宋体"/>
                <w:szCs w:val="21"/>
              </w:rPr>
              <w:t>受理卡种：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288" w:type="dxa"/>
            <w:gridSpan w:val="2"/>
            <w:vAlign w:val="center"/>
          </w:tcPr>
          <w:p>
            <w:pPr>
              <w:spacing w:line="240" w:lineRule="atLeast"/>
              <w:rPr>
                <w:rFonts w:ascii="宋体" w:hAnsi="宋体"/>
                <w:szCs w:val="21"/>
              </w:rPr>
            </w:pPr>
            <w:r>
              <w:rPr>
                <w:rFonts w:hint="eastAsia" w:ascii="宋体" w:hAnsi="宋体"/>
                <w:szCs w:val="21"/>
              </w:rPr>
              <w:t>从业人员受理业务知识和操作技能：</w:t>
            </w:r>
          </w:p>
          <w:p>
            <w:pPr>
              <w:spacing w:line="240" w:lineRule="atLeast"/>
              <w:rPr>
                <w:rFonts w:ascii="宋体" w:hAnsi="宋体"/>
                <w:szCs w:val="21"/>
              </w:rPr>
            </w:pPr>
            <w:r>
              <w:rPr>
                <w:rFonts w:hint="eastAsia" w:ascii="宋体" w:hAnsi="宋体"/>
                <w:szCs w:val="21"/>
              </w:rPr>
              <w:t>□ 经验丰富，受卡设备操作熟练</w:t>
            </w:r>
          </w:p>
          <w:p>
            <w:pPr>
              <w:spacing w:line="240" w:lineRule="atLeast"/>
              <w:rPr>
                <w:rFonts w:ascii="宋体" w:hAnsi="宋体"/>
                <w:szCs w:val="21"/>
              </w:rPr>
            </w:pPr>
            <w:r>
              <w:rPr>
                <w:rFonts w:hint="eastAsia" w:ascii="宋体" w:hAnsi="宋体"/>
                <w:szCs w:val="21"/>
              </w:rPr>
              <w:t>□ 有一定受理经验，能完成基本操作</w:t>
            </w:r>
          </w:p>
          <w:p>
            <w:pPr>
              <w:spacing w:line="240" w:lineRule="atLeast"/>
              <w:rPr>
                <w:rFonts w:ascii="宋体" w:hAnsi="宋体"/>
                <w:szCs w:val="21"/>
              </w:rPr>
            </w:pPr>
            <w:r>
              <w:rPr>
                <w:rFonts w:hint="eastAsia" w:ascii="宋体" w:hAnsi="宋体"/>
                <w:szCs w:val="21"/>
              </w:rPr>
              <w:t>□ 无任何受理经验，不会使用受卡设备</w:t>
            </w:r>
          </w:p>
        </w:tc>
      </w:tr>
    </w:tbl>
    <w:p>
      <w:pPr>
        <w:spacing w:line="240" w:lineRule="atLeast"/>
        <w:rPr>
          <w:rFonts w:ascii="宋体" w:hAnsi="宋体"/>
          <w:b/>
          <w:szCs w:val="21"/>
        </w:rPr>
      </w:pPr>
      <w:r>
        <w:rPr>
          <w:rFonts w:hint="eastAsia" w:ascii="宋体" w:hAnsi="宋体"/>
          <w:b/>
          <w:szCs w:val="21"/>
        </w:rPr>
        <w:t>3．服务供应商道德信用</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274" w:type="dxa"/>
            <w:vAlign w:val="center"/>
          </w:tcPr>
          <w:p>
            <w:pPr>
              <w:spacing w:line="240" w:lineRule="atLeast"/>
              <w:rPr>
                <w:rFonts w:ascii="宋体" w:hAnsi="宋体"/>
                <w:szCs w:val="21"/>
              </w:rPr>
            </w:pPr>
            <w:r>
              <w:rPr>
                <w:rFonts w:hint="eastAsia" w:ascii="宋体" w:hAnsi="宋体"/>
                <w:bCs/>
                <w:szCs w:val="21"/>
              </w:rPr>
              <w:t>服务供应商</w:t>
            </w:r>
            <w:r>
              <w:rPr>
                <w:rFonts w:hint="eastAsia" w:ascii="宋体" w:hAnsi="宋体"/>
                <w:szCs w:val="21"/>
              </w:rPr>
              <w:t>是否被列入中国银联或其他卡组织的可疑合作服务供应商名单：</w:t>
            </w:r>
          </w:p>
          <w:p>
            <w:pPr>
              <w:spacing w:line="240" w:lineRule="atLeast"/>
              <w:rPr>
                <w:rFonts w:ascii="宋体" w:hAnsi="宋体"/>
                <w:szCs w:val="21"/>
              </w:rPr>
            </w:pPr>
            <w:r>
              <w:rPr>
                <w:rFonts w:hint="eastAsia" w:ascii="宋体" w:hAnsi="宋体"/>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274" w:type="dxa"/>
            <w:vAlign w:val="center"/>
          </w:tcPr>
          <w:p>
            <w:pPr>
              <w:spacing w:line="240" w:lineRule="atLeast"/>
              <w:rPr>
                <w:rFonts w:ascii="宋体" w:hAnsi="宋体"/>
                <w:szCs w:val="21"/>
              </w:rPr>
            </w:pPr>
            <w:r>
              <w:rPr>
                <w:rFonts w:hint="eastAsia" w:ascii="宋体" w:hAnsi="宋体"/>
                <w:bCs/>
                <w:szCs w:val="21"/>
              </w:rPr>
              <w:t>服务供应商</w:t>
            </w:r>
            <w:r>
              <w:rPr>
                <w:rFonts w:hint="eastAsia" w:ascii="宋体" w:hAnsi="宋体"/>
                <w:szCs w:val="21"/>
              </w:rPr>
              <w:t>以前是否被收单银行或其他收单伙伴拒绝：</w:t>
            </w:r>
          </w:p>
          <w:p>
            <w:pPr>
              <w:spacing w:line="240" w:lineRule="atLeast"/>
              <w:rPr>
                <w:rFonts w:ascii="宋体" w:hAnsi="宋体"/>
                <w:szCs w:val="21"/>
              </w:rPr>
            </w:pPr>
            <w:r>
              <w:rPr>
                <w:rFonts w:hint="eastAsia" w:ascii="宋体" w:hAnsi="宋体"/>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274" w:type="dxa"/>
            <w:vAlign w:val="center"/>
          </w:tcPr>
          <w:p>
            <w:pPr>
              <w:spacing w:line="240" w:lineRule="atLeast"/>
              <w:rPr>
                <w:rFonts w:ascii="宋体" w:hAnsi="宋体"/>
                <w:szCs w:val="21"/>
              </w:rPr>
            </w:pPr>
            <w:r>
              <w:rPr>
                <w:rFonts w:hint="eastAsia" w:ascii="宋体" w:hAnsi="宋体"/>
                <w:bCs/>
                <w:szCs w:val="21"/>
              </w:rPr>
              <w:t>服务供应商</w:t>
            </w:r>
            <w:r>
              <w:rPr>
                <w:rFonts w:hint="eastAsia" w:ascii="宋体" w:hAnsi="宋体"/>
                <w:szCs w:val="21"/>
              </w:rPr>
              <w:t>是否有卷入法律诉讼：</w:t>
            </w:r>
          </w:p>
          <w:p>
            <w:pPr>
              <w:spacing w:line="240" w:lineRule="atLeast"/>
              <w:rPr>
                <w:rFonts w:ascii="宋体" w:hAnsi="宋体"/>
                <w:szCs w:val="21"/>
              </w:rPr>
            </w:pPr>
            <w:r>
              <w:rPr>
                <w:rFonts w:hint="eastAsia" w:ascii="宋体" w:hAnsi="宋体"/>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274" w:type="dxa"/>
            <w:vAlign w:val="center"/>
          </w:tcPr>
          <w:p>
            <w:pPr>
              <w:spacing w:line="240" w:lineRule="atLeast"/>
              <w:rPr>
                <w:rFonts w:ascii="宋体" w:hAnsi="宋体"/>
                <w:szCs w:val="21"/>
              </w:rPr>
            </w:pPr>
            <w:r>
              <w:rPr>
                <w:rFonts w:hint="eastAsia" w:ascii="宋体" w:hAnsi="宋体"/>
                <w:bCs/>
                <w:szCs w:val="21"/>
              </w:rPr>
              <w:t>服务供应商</w:t>
            </w:r>
            <w:r>
              <w:rPr>
                <w:rFonts w:hint="eastAsia" w:ascii="宋体" w:hAnsi="宋体"/>
                <w:szCs w:val="21"/>
              </w:rPr>
              <w:t>负责人（法人代表或高层管理者）是否有卷入法律诉讼：</w:t>
            </w:r>
          </w:p>
          <w:p>
            <w:pPr>
              <w:spacing w:line="240" w:lineRule="atLeast"/>
              <w:rPr>
                <w:rFonts w:ascii="宋体" w:hAnsi="宋体"/>
                <w:szCs w:val="21"/>
              </w:rPr>
            </w:pPr>
            <w:r>
              <w:rPr>
                <w:rFonts w:hint="eastAsia" w:ascii="宋体" w:hAnsi="宋体"/>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274" w:type="dxa"/>
            <w:vAlign w:val="center"/>
          </w:tcPr>
          <w:p>
            <w:pPr>
              <w:spacing w:line="240" w:lineRule="atLeast"/>
              <w:rPr>
                <w:rFonts w:ascii="宋体" w:hAnsi="宋体"/>
                <w:szCs w:val="21"/>
              </w:rPr>
            </w:pPr>
            <w:r>
              <w:rPr>
                <w:rFonts w:hint="eastAsia" w:ascii="宋体" w:hAnsi="宋体"/>
                <w:bCs/>
                <w:szCs w:val="21"/>
              </w:rPr>
              <w:t>服务供应商</w:t>
            </w:r>
            <w:r>
              <w:rPr>
                <w:rFonts w:hint="eastAsia" w:ascii="宋体" w:hAnsi="宋体"/>
                <w:szCs w:val="21"/>
              </w:rPr>
              <w:t>被执法部门的处罚记录（如工商、税务、环保等）：</w:t>
            </w:r>
          </w:p>
          <w:p>
            <w:pPr>
              <w:spacing w:line="240" w:lineRule="atLeast"/>
              <w:rPr>
                <w:rFonts w:ascii="宋体" w:hAnsi="宋体"/>
                <w:szCs w:val="21"/>
              </w:rPr>
            </w:pPr>
            <w:r>
              <w:rPr>
                <w:rFonts w:hint="eastAsia" w:ascii="宋体" w:hAnsi="宋体"/>
                <w:szCs w:val="21"/>
              </w:rPr>
              <w:t>□ 是　□ 否</w:t>
            </w:r>
          </w:p>
        </w:tc>
      </w:tr>
    </w:tbl>
    <w:p>
      <w:pPr>
        <w:spacing w:line="240" w:lineRule="atLeast"/>
        <w:rPr>
          <w:rFonts w:ascii="宋体" w:hAnsi="宋体"/>
          <w:b/>
          <w:sz w:val="18"/>
          <w:szCs w:val="18"/>
        </w:rPr>
      </w:pPr>
    </w:p>
    <w:p>
      <w:pPr>
        <w:spacing w:line="240" w:lineRule="atLeast"/>
        <w:rPr>
          <w:rFonts w:ascii="宋体" w:hAnsi="宋体"/>
          <w:b/>
          <w:sz w:val="18"/>
          <w:szCs w:val="18"/>
        </w:rPr>
      </w:pPr>
    </w:p>
    <w:tbl>
      <w:tblPr>
        <w:tblStyle w:val="6"/>
        <w:tblpPr w:leftFromText="180" w:rightFromText="180" w:vertAnchor="page" w:horzAnchor="margin" w:tblpXSpec="center" w:tblpY="1763"/>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8"/>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2" w:hRule="atLeast"/>
        </w:trPr>
        <w:tc>
          <w:tcPr>
            <w:tcW w:w="9600" w:type="dxa"/>
            <w:gridSpan w:val="2"/>
          </w:tcPr>
          <w:p>
            <w:pPr>
              <w:numPr>
                <w:ilvl w:val="0"/>
                <w:numId w:val="1"/>
              </w:numPr>
              <w:spacing w:line="440" w:lineRule="exact"/>
              <w:rPr>
                <w:rFonts w:ascii="宋体" w:hAnsi="宋体"/>
                <w:szCs w:val="21"/>
              </w:rPr>
            </w:pPr>
            <w:r>
              <w:rPr>
                <w:rFonts w:hint="eastAsia" w:ascii="宋体" w:hAnsi="宋体"/>
                <w:szCs w:val="21"/>
              </w:rPr>
              <w:t>是否检查验证</w:t>
            </w:r>
            <w:r>
              <w:rPr>
                <w:rFonts w:hint="eastAsia" w:ascii="宋体" w:hAnsi="宋体"/>
                <w:bCs/>
                <w:szCs w:val="21"/>
              </w:rPr>
              <w:t>服务供应商</w:t>
            </w:r>
            <w:r>
              <w:rPr>
                <w:rFonts w:hint="eastAsia" w:ascii="宋体" w:hAnsi="宋体"/>
                <w:szCs w:val="21"/>
              </w:rPr>
              <w:t>的营业执照等证明文件</w:t>
            </w:r>
          </w:p>
          <w:p>
            <w:pPr>
              <w:tabs>
                <w:tab w:val="left" w:pos="360"/>
              </w:tabs>
              <w:spacing w:line="440" w:lineRule="exact"/>
              <w:ind w:firstLine="420"/>
              <w:rPr>
                <w:rFonts w:ascii="宋体" w:hAnsi="宋体"/>
                <w:szCs w:val="21"/>
              </w:rPr>
            </w:pPr>
            <w:r>
              <w:rPr>
                <w:rFonts w:hint="eastAsia" w:ascii="宋体" w:hAnsi="宋体"/>
                <w:szCs w:val="21"/>
              </w:rPr>
              <w:t>□ 是，符合规定。□ 否，原因：</w:t>
            </w:r>
          </w:p>
          <w:p>
            <w:pPr>
              <w:numPr>
                <w:ilvl w:val="0"/>
                <w:numId w:val="1"/>
              </w:numPr>
              <w:spacing w:line="440" w:lineRule="exact"/>
              <w:rPr>
                <w:rFonts w:ascii="宋体" w:hAnsi="宋体"/>
                <w:szCs w:val="21"/>
              </w:rPr>
            </w:pPr>
            <w:r>
              <w:rPr>
                <w:rFonts w:hint="eastAsia" w:ascii="宋体" w:hAnsi="宋体"/>
                <w:szCs w:val="21"/>
              </w:rPr>
              <w:t>是否对</w:t>
            </w:r>
            <w:r>
              <w:rPr>
                <w:rFonts w:hint="eastAsia" w:ascii="宋体" w:hAnsi="宋体"/>
                <w:bCs/>
                <w:szCs w:val="21"/>
              </w:rPr>
              <w:t>服务供应商</w:t>
            </w:r>
            <w:r>
              <w:rPr>
                <w:rFonts w:hint="eastAsia" w:ascii="宋体" w:hAnsi="宋体"/>
                <w:szCs w:val="21"/>
              </w:rPr>
              <w:t>进行业务知识和操作技能的资格审核</w:t>
            </w:r>
          </w:p>
          <w:p>
            <w:pPr>
              <w:tabs>
                <w:tab w:val="left" w:pos="360"/>
              </w:tabs>
              <w:spacing w:line="440" w:lineRule="exact"/>
              <w:ind w:firstLine="420"/>
              <w:rPr>
                <w:rFonts w:ascii="宋体" w:hAnsi="宋体"/>
                <w:szCs w:val="21"/>
              </w:rPr>
            </w:pPr>
            <w:r>
              <w:rPr>
                <w:rFonts w:hint="eastAsia" w:ascii="宋体" w:hAnsi="宋体"/>
                <w:szCs w:val="21"/>
              </w:rPr>
              <w:t>□ 是。□ 否，原因：</w:t>
            </w:r>
          </w:p>
          <w:p>
            <w:pPr>
              <w:numPr>
                <w:ilvl w:val="0"/>
                <w:numId w:val="1"/>
              </w:numPr>
              <w:spacing w:line="440" w:lineRule="exact"/>
              <w:rPr>
                <w:rFonts w:ascii="宋体" w:hAnsi="宋体"/>
                <w:szCs w:val="21"/>
              </w:rPr>
            </w:pPr>
            <w:r>
              <w:rPr>
                <w:rFonts w:hint="eastAsia" w:ascii="宋体" w:hAnsi="宋体"/>
                <w:szCs w:val="21"/>
              </w:rPr>
              <w:t>是否对合作</w:t>
            </w:r>
            <w:r>
              <w:rPr>
                <w:rFonts w:hint="eastAsia" w:ascii="宋体" w:hAnsi="宋体"/>
                <w:bCs/>
                <w:szCs w:val="21"/>
              </w:rPr>
              <w:t>服务供应商</w:t>
            </w:r>
            <w:r>
              <w:rPr>
                <w:rFonts w:hint="eastAsia" w:ascii="宋体" w:hAnsi="宋体"/>
                <w:szCs w:val="21"/>
              </w:rPr>
              <w:t>进行实地考察</w:t>
            </w:r>
          </w:p>
          <w:p>
            <w:pPr>
              <w:tabs>
                <w:tab w:val="left" w:pos="360"/>
              </w:tabs>
              <w:spacing w:line="440" w:lineRule="exact"/>
              <w:ind w:firstLine="420"/>
              <w:rPr>
                <w:rFonts w:ascii="宋体" w:hAnsi="宋体"/>
                <w:szCs w:val="21"/>
              </w:rPr>
            </w:pPr>
            <w:r>
              <w:rPr>
                <w:rFonts w:hint="eastAsia" w:ascii="宋体" w:hAnsi="宋体"/>
                <w:szCs w:val="21"/>
              </w:rPr>
              <w:t>□ 是，在合作服务供应商营业时间进行实地考察。</w:t>
            </w:r>
          </w:p>
          <w:p>
            <w:pPr>
              <w:tabs>
                <w:tab w:val="left" w:pos="360"/>
              </w:tabs>
              <w:spacing w:line="440" w:lineRule="exact"/>
              <w:ind w:firstLine="420"/>
              <w:rPr>
                <w:rFonts w:ascii="宋体" w:hAnsi="宋体"/>
                <w:szCs w:val="21"/>
              </w:rPr>
            </w:pPr>
            <w:r>
              <w:rPr>
                <w:rFonts w:hint="eastAsia" w:ascii="宋体" w:hAnsi="宋体"/>
                <w:szCs w:val="21"/>
              </w:rPr>
              <w:t>□ 否，原因：</w:t>
            </w:r>
          </w:p>
          <w:p>
            <w:pPr>
              <w:numPr>
                <w:ilvl w:val="0"/>
                <w:numId w:val="1"/>
              </w:numPr>
              <w:spacing w:line="440" w:lineRule="exact"/>
              <w:rPr>
                <w:rFonts w:ascii="宋体" w:hAnsi="宋体"/>
                <w:szCs w:val="21"/>
              </w:rPr>
            </w:pPr>
            <w:r>
              <w:rPr>
                <w:rFonts w:hint="eastAsia" w:ascii="宋体" w:hAnsi="宋体"/>
                <w:bCs/>
                <w:szCs w:val="21"/>
              </w:rPr>
              <w:t>服务供应商</w:t>
            </w:r>
            <w:r>
              <w:rPr>
                <w:rFonts w:hint="eastAsia" w:ascii="宋体" w:hAnsi="宋体"/>
                <w:szCs w:val="21"/>
              </w:rPr>
              <w:t>营业范围与营业执照登记是否相符</w:t>
            </w:r>
          </w:p>
          <w:p>
            <w:pPr>
              <w:tabs>
                <w:tab w:val="left" w:pos="360"/>
              </w:tabs>
              <w:spacing w:line="440" w:lineRule="exact"/>
              <w:ind w:firstLine="420"/>
              <w:rPr>
                <w:rFonts w:ascii="宋体" w:hAnsi="宋体"/>
                <w:szCs w:val="21"/>
              </w:rPr>
            </w:pPr>
            <w:r>
              <w:rPr>
                <w:rFonts w:hint="eastAsia" w:ascii="宋体" w:hAnsi="宋体"/>
                <w:szCs w:val="21"/>
              </w:rPr>
              <w:t>□ 是，营业范围与营业执照登记相符</w:t>
            </w:r>
          </w:p>
          <w:p>
            <w:pPr>
              <w:tabs>
                <w:tab w:val="left" w:pos="360"/>
              </w:tabs>
              <w:spacing w:line="440" w:lineRule="exact"/>
              <w:ind w:firstLine="420"/>
              <w:rPr>
                <w:rFonts w:ascii="宋体" w:hAnsi="宋体"/>
                <w:szCs w:val="21"/>
              </w:rPr>
            </w:pPr>
            <w:r>
              <w:rPr>
                <w:rFonts w:hint="eastAsia" w:ascii="宋体" w:hAnsi="宋体"/>
                <w:szCs w:val="21"/>
              </w:rPr>
              <w:t>□ 不符，原因：</w:t>
            </w:r>
          </w:p>
          <w:p>
            <w:pPr>
              <w:numPr>
                <w:ilvl w:val="0"/>
                <w:numId w:val="1"/>
              </w:numPr>
              <w:spacing w:line="440" w:lineRule="exact"/>
              <w:rPr>
                <w:rFonts w:ascii="宋体" w:hAnsi="宋体"/>
                <w:szCs w:val="21"/>
              </w:rPr>
            </w:pPr>
            <w:r>
              <w:rPr>
                <w:rFonts w:hint="eastAsia" w:ascii="宋体" w:hAnsi="宋体"/>
                <w:bCs/>
                <w:szCs w:val="21"/>
              </w:rPr>
              <w:t>服务供应商</w:t>
            </w:r>
            <w:r>
              <w:rPr>
                <w:rFonts w:hint="eastAsia" w:ascii="宋体" w:hAnsi="宋体"/>
                <w:szCs w:val="21"/>
              </w:rPr>
              <w:t>经营状况</w:t>
            </w:r>
          </w:p>
          <w:p>
            <w:pPr>
              <w:tabs>
                <w:tab w:val="left" w:pos="360"/>
              </w:tabs>
              <w:spacing w:line="440" w:lineRule="exact"/>
              <w:ind w:firstLine="420"/>
              <w:rPr>
                <w:rFonts w:ascii="宋体" w:hAnsi="宋体"/>
                <w:szCs w:val="21"/>
              </w:rPr>
            </w:pPr>
            <w:r>
              <w:rPr>
                <w:rFonts w:hint="eastAsia" w:ascii="宋体" w:hAnsi="宋体"/>
                <w:szCs w:val="21"/>
              </w:rPr>
              <w:t>□ 合作</w:t>
            </w:r>
            <w:r>
              <w:rPr>
                <w:rFonts w:hint="eastAsia" w:ascii="宋体" w:hAnsi="宋体"/>
                <w:bCs/>
                <w:szCs w:val="21"/>
              </w:rPr>
              <w:t>服务供应商</w:t>
            </w:r>
            <w:r>
              <w:rPr>
                <w:rFonts w:hint="eastAsia" w:ascii="宋体" w:hAnsi="宋体"/>
                <w:szCs w:val="21"/>
              </w:rPr>
              <w:t>经营总体良好。</w:t>
            </w:r>
          </w:p>
          <w:p>
            <w:pPr>
              <w:tabs>
                <w:tab w:val="left" w:pos="360"/>
              </w:tabs>
              <w:spacing w:line="440" w:lineRule="exact"/>
              <w:ind w:firstLine="420"/>
              <w:rPr>
                <w:rFonts w:ascii="宋体" w:hAnsi="宋体"/>
                <w:szCs w:val="21"/>
              </w:rPr>
            </w:pPr>
            <w:r>
              <w:rPr>
                <w:rFonts w:hint="eastAsia" w:ascii="宋体" w:hAnsi="宋体"/>
                <w:szCs w:val="21"/>
              </w:rPr>
              <w:t>□ 合作</w:t>
            </w:r>
            <w:r>
              <w:rPr>
                <w:rFonts w:hint="eastAsia" w:ascii="宋体" w:hAnsi="宋体"/>
                <w:bCs/>
                <w:szCs w:val="21"/>
              </w:rPr>
              <w:t>服务供应商</w:t>
            </w:r>
            <w:r>
              <w:rPr>
                <w:rFonts w:hint="eastAsia" w:ascii="宋体" w:hAnsi="宋体"/>
                <w:szCs w:val="21"/>
              </w:rPr>
              <w:t>经营状况一般。</w:t>
            </w:r>
          </w:p>
          <w:p>
            <w:pPr>
              <w:tabs>
                <w:tab w:val="left" w:pos="360"/>
              </w:tabs>
              <w:spacing w:line="440" w:lineRule="exact"/>
              <w:ind w:firstLine="420"/>
              <w:rPr>
                <w:rFonts w:ascii="宋体" w:hAnsi="宋体"/>
                <w:szCs w:val="21"/>
              </w:rPr>
            </w:pPr>
            <w:r>
              <w:rPr>
                <w:rFonts w:hint="eastAsia" w:ascii="宋体" w:hAnsi="宋体"/>
                <w:szCs w:val="21"/>
              </w:rPr>
              <w:t>□ 合作</w:t>
            </w:r>
            <w:r>
              <w:rPr>
                <w:rFonts w:hint="eastAsia" w:ascii="宋体" w:hAnsi="宋体"/>
                <w:bCs/>
                <w:szCs w:val="21"/>
              </w:rPr>
              <w:t>服务供应商</w:t>
            </w:r>
            <w:r>
              <w:rPr>
                <w:rFonts w:hint="eastAsia" w:ascii="宋体" w:hAnsi="宋体"/>
                <w:szCs w:val="21"/>
              </w:rPr>
              <w:t>经营状况较差，但会有改善。</w:t>
            </w:r>
          </w:p>
          <w:p>
            <w:pPr>
              <w:tabs>
                <w:tab w:val="left" w:pos="360"/>
              </w:tabs>
              <w:spacing w:line="440" w:lineRule="exact"/>
              <w:ind w:firstLine="420"/>
              <w:rPr>
                <w:rFonts w:ascii="宋体" w:hAnsi="宋体"/>
                <w:szCs w:val="21"/>
              </w:rPr>
            </w:pPr>
            <w:r>
              <w:rPr>
                <w:rFonts w:hint="eastAsia" w:ascii="宋体" w:hAnsi="宋体"/>
                <w:szCs w:val="21"/>
              </w:rPr>
              <w:t>□ 合作</w:t>
            </w:r>
            <w:r>
              <w:rPr>
                <w:rFonts w:hint="eastAsia" w:ascii="宋体" w:hAnsi="宋体"/>
                <w:bCs/>
                <w:szCs w:val="21"/>
              </w:rPr>
              <w:t>服务供应商</w:t>
            </w:r>
            <w:r>
              <w:rPr>
                <w:rFonts w:hint="eastAsia" w:ascii="宋体" w:hAnsi="宋体"/>
                <w:szCs w:val="21"/>
              </w:rPr>
              <w:t>经营状况差，风险很高。</w:t>
            </w:r>
          </w:p>
          <w:p>
            <w:pPr>
              <w:numPr>
                <w:ilvl w:val="0"/>
                <w:numId w:val="1"/>
              </w:numPr>
              <w:spacing w:line="440" w:lineRule="exact"/>
              <w:rPr>
                <w:rFonts w:ascii="宋体" w:hAnsi="宋体"/>
                <w:szCs w:val="21"/>
              </w:rPr>
            </w:pPr>
            <w:r>
              <w:rPr>
                <w:rFonts w:hint="eastAsia" w:ascii="宋体" w:hAnsi="宋体"/>
                <w:bCs/>
                <w:szCs w:val="21"/>
              </w:rPr>
              <w:t>服务供应商</w:t>
            </w:r>
            <w:r>
              <w:rPr>
                <w:rFonts w:hint="eastAsia" w:ascii="宋体" w:hAnsi="宋体"/>
                <w:szCs w:val="21"/>
              </w:rPr>
              <w:t>考察意见：</w:t>
            </w:r>
          </w:p>
          <w:p>
            <w:pPr>
              <w:tabs>
                <w:tab w:val="left" w:pos="360"/>
              </w:tabs>
              <w:spacing w:line="440" w:lineRule="exact"/>
              <w:ind w:firstLine="420"/>
              <w:rPr>
                <w:rFonts w:ascii="宋体" w:hAnsi="宋体"/>
                <w:szCs w:val="21"/>
              </w:rPr>
            </w:pPr>
            <w:r>
              <w:rPr>
                <w:rFonts w:hint="eastAsia" w:ascii="宋体" w:hAnsi="宋体"/>
                <w:szCs w:val="21"/>
              </w:rPr>
              <w:t>□ 优质合作服务供应商。</w:t>
            </w:r>
          </w:p>
          <w:p>
            <w:pPr>
              <w:tabs>
                <w:tab w:val="left" w:pos="360"/>
              </w:tabs>
              <w:spacing w:line="440" w:lineRule="exact"/>
              <w:ind w:firstLine="420"/>
              <w:rPr>
                <w:rFonts w:ascii="宋体" w:hAnsi="宋体"/>
                <w:szCs w:val="21"/>
              </w:rPr>
            </w:pPr>
            <w:r>
              <w:rPr>
                <w:rFonts w:hint="eastAsia" w:ascii="宋体" w:hAnsi="宋体"/>
                <w:szCs w:val="21"/>
              </w:rPr>
              <w:t>□ 一般合作服务供应商，风险较低。</w:t>
            </w:r>
          </w:p>
          <w:p>
            <w:pPr>
              <w:tabs>
                <w:tab w:val="left" w:pos="360"/>
              </w:tabs>
              <w:spacing w:line="440" w:lineRule="exact"/>
              <w:ind w:firstLine="420"/>
              <w:rPr>
                <w:rFonts w:ascii="宋体" w:hAnsi="宋体"/>
                <w:szCs w:val="21"/>
              </w:rPr>
            </w:pPr>
            <w:r>
              <w:rPr>
                <w:rFonts w:hint="eastAsia" w:ascii="宋体" w:hAnsi="宋体"/>
                <w:szCs w:val="21"/>
              </w:rPr>
              <w:t>□ 一般合作服务供应商，有一定风险，需要对其业务有所监控。</w:t>
            </w:r>
          </w:p>
          <w:p>
            <w:pPr>
              <w:tabs>
                <w:tab w:val="left" w:pos="360"/>
              </w:tabs>
              <w:spacing w:line="440" w:lineRule="exact"/>
              <w:ind w:firstLine="420"/>
              <w:rPr>
                <w:rFonts w:ascii="宋体" w:hAnsi="宋体"/>
                <w:szCs w:val="21"/>
              </w:rPr>
            </w:pPr>
            <w:r>
              <w:rPr>
                <w:rFonts w:hint="eastAsia" w:ascii="宋体" w:hAnsi="宋体"/>
                <w:szCs w:val="21"/>
              </w:rPr>
              <w:t>□ 高风险等级合作服务供应商，暂不考虑发展</w:t>
            </w:r>
          </w:p>
          <w:p>
            <w:pPr>
              <w:tabs>
                <w:tab w:val="left" w:pos="360"/>
              </w:tabs>
              <w:spacing w:line="440" w:lineRule="exact"/>
              <w:rPr>
                <w:rFonts w:ascii="宋体" w:hAnsi="宋体"/>
                <w:szCs w:val="21"/>
              </w:rPr>
            </w:pPr>
            <w:r>
              <w:rPr>
                <w:rFonts w:hint="eastAsia" w:ascii="宋体" w:hAnsi="宋体"/>
                <w:szCs w:val="21"/>
              </w:rPr>
              <w:t>7.  服务供应商签署协议：</w:t>
            </w:r>
          </w:p>
          <w:p>
            <w:pPr>
              <w:tabs>
                <w:tab w:val="left" w:pos="360"/>
              </w:tabs>
              <w:spacing w:line="440" w:lineRule="exact"/>
              <w:ind w:firstLine="420"/>
              <w:rPr>
                <w:rFonts w:ascii="宋体" w:hAnsi="宋体"/>
                <w:szCs w:val="21"/>
              </w:rPr>
            </w:pPr>
            <w:r>
              <w:rPr>
                <w:rFonts w:hint="eastAsia" w:ascii="宋体" w:hAnsi="宋体"/>
                <w:szCs w:val="21"/>
              </w:rPr>
              <w:t>□ 非常清楚后签署</w:t>
            </w:r>
          </w:p>
          <w:p>
            <w:pPr>
              <w:tabs>
                <w:tab w:val="left" w:pos="360"/>
              </w:tabs>
              <w:spacing w:line="440" w:lineRule="exact"/>
              <w:ind w:firstLine="420"/>
              <w:rPr>
                <w:rFonts w:ascii="宋体" w:hAnsi="宋体"/>
                <w:szCs w:val="21"/>
              </w:rPr>
            </w:pPr>
            <w:r>
              <w:rPr>
                <w:rFonts w:hint="eastAsia" w:ascii="宋体" w:hAnsi="宋体"/>
                <w:szCs w:val="21"/>
              </w:rPr>
              <w:t>□ 了解后签署</w:t>
            </w:r>
          </w:p>
          <w:p>
            <w:pPr>
              <w:tabs>
                <w:tab w:val="left" w:pos="360"/>
              </w:tabs>
              <w:spacing w:line="440" w:lineRule="exact"/>
              <w:ind w:firstLine="420"/>
              <w:rPr>
                <w:rFonts w:ascii="宋体" w:hAnsi="宋体"/>
                <w:szCs w:val="21"/>
              </w:rPr>
            </w:pPr>
            <w:r>
              <w:rPr>
                <w:rFonts w:hint="eastAsia" w:ascii="宋体" w:hAnsi="宋体"/>
                <w:szCs w:val="21"/>
              </w:rPr>
              <w:t>□ 不清楚后签署</w:t>
            </w:r>
          </w:p>
          <w:p>
            <w:pPr>
              <w:tabs>
                <w:tab w:val="left" w:pos="360"/>
              </w:tabs>
              <w:spacing w:line="440" w:lineRule="exact"/>
              <w:rPr>
                <w:rFonts w:ascii="宋体" w:hAnsi="宋体"/>
                <w:szCs w:val="21"/>
              </w:rPr>
            </w:pPr>
            <w:r>
              <w:rPr>
                <w:rFonts w:hint="eastAsia" w:ascii="宋体" w:hAnsi="宋体"/>
                <w:szCs w:val="21"/>
              </w:rPr>
              <w:t>8． 是否为服务供应商讲解</w:t>
            </w:r>
            <w:r>
              <w:rPr>
                <w:rFonts w:hint="eastAsia" w:ascii="宋体" w:hAnsi="宋体"/>
              </w:rPr>
              <w:t>北京海科融通支付服务股份有限公司</w:t>
            </w:r>
            <w:r>
              <w:rPr>
                <w:rFonts w:hint="eastAsia" w:ascii="宋体" w:hAnsi="宋体"/>
                <w:szCs w:val="21"/>
              </w:rPr>
              <w:t>管理制度和不定时地公布拓展政策：</w:t>
            </w:r>
          </w:p>
          <w:p>
            <w:pPr>
              <w:tabs>
                <w:tab w:val="left" w:pos="360"/>
              </w:tabs>
              <w:spacing w:line="440" w:lineRule="exact"/>
              <w:rPr>
                <w:rFonts w:ascii="宋体" w:hAnsi="宋体"/>
                <w:b/>
                <w:szCs w:val="21"/>
              </w:rPr>
            </w:pPr>
            <w:r>
              <w:rPr>
                <w:rFonts w:hint="eastAsia" w:ascii="宋体" w:hAnsi="宋体"/>
                <w:szCs w:val="21"/>
              </w:rPr>
              <w:t xml:space="preserve">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108" w:type="dxa"/>
            <w:vAlign w:val="center"/>
          </w:tcPr>
          <w:p>
            <w:pPr>
              <w:spacing w:line="440" w:lineRule="exact"/>
              <w:rPr>
                <w:rFonts w:ascii="宋体" w:hAnsi="宋体"/>
                <w:szCs w:val="21"/>
              </w:rPr>
            </w:pPr>
            <w:r>
              <w:rPr>
                <w:rFonts w:hint="eastAsia" w:ascii="宋体" w:hAnsi="宋体"/>
                <w:szCs w:val="21"/>
              </w:rPr>
              <w:t>经办人姓名：</w:t>
            </w:r>
          </w:p>
        </w:tc>
        <w:tc>
          <w:tcPr>
            <w:tcW w:w="5492" w:type="dxa"/>
            <w:vAlign w:val="center"/>
          </w:tcPr>
          <w:p>
            <w:pPr>
              <w:spacing w:line="440" w:lineRule="exact"/>
              <w:rPr>
                <w:rFonts w:ascii="宋体" w:hAnsi="宋体"/>
                <w:szCs w:val="21"/>
              </w:rPr>
            </w:pPr>
            <w:r>
              <w:rPr>
                <w:rFonts w:hint="eastAsia" w:ascii="宋体" w:hAnsi="宋体"/>
                <w:szCs w:val="21"/>
              </w:rPr>
              <w:t>填写日期：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4108" w:type="dxa"/>
            <w:vAlign w:val="center"/>
          </w:tcPr>
          <w:p>
            <w:pPr>
              <w:spacing w:line="440" w:lineRule="exact"/>
              <w:rPr>
                <w:rFonts w:ascii="宋体" w:hAnsi="宋体"/>
                <w:szCs w:val="21"/>
              </w:rPr>
            </w:pPr>
            <w:r>
              <w:rPr>
                <w:rFonts w:hint="eastAsia" w:ascii="宋体" w:hAnsi="宋体"/>
                <w:szCs w:val="21"/>
              </w:rPr>
              <w:t>经办人电话：</w:t>
            </w:r>
          </w:p>
        </w:tc>
        <w:tc>
          <w:tcPr>
            <w:tcW w:w="5492" w:type="dxa"/>
            <w:vAlign w:val="center"/>
          </w:tcPr>
          <w:p>
            <w:pPr>
              <w:spacing w:line="440" w:lineRule="exact"/>
              <w:rPr>
                <w:rFonts w:ascii="宋体" w:hAnsi="宋体"/>
                <w:szCs w:val="21"/>
              </w:rPr>
            </w:pPr>
            <w:r>
              <w:rPr>
                <w:rFonts w:hint="eastAsia" w:ascii="宋体" w:hAnsi="宋体"/>
                <w:szCs w:val="21"/>
              </w:rPr>
              <w:t>经办人签署：</w:t>
            </w:r>
          </w:p>
        </w:tc>
      </w:tr>
    </w:tbl>
    <w:p>
      <w:pPr>
        <w:numPr>
          <w:ilvl w:val="0"/>
          <w:numId w:val="2"/>
        </w:numPr>
        <w:spacing w:line="240" w:lineRule="atLeast"/>
        <w:rPr>
          <w:rFonts w:ascii="宋体" w:hAnsi="宋体"/>
          <w:b/>
          <w:szCs w:val="21"/>
        </w:rPr>
      </w:pPr>
      <w:r>
        <w:rPr>
          <w:rFonts w:hint="eastAsia" w:ascii="宋体" w:hAnsi="宋体"/>
          <w:b/>
          <w:szCs w:val="21"/>
        </w:rPr>
        <w:t>服务供应商考察情况及意见：</w:t>
      </w:r>
    </w:p>
    <w:p>
      <w:pPr>
        <w:spacing w:line="240" w:lineRule="atLeast"/>
        <w:rPr>
          <w:rFonts w:ascii="宋体" w:hAnsi="宋体"/>
          <w:b/>
          <w:szCs w:val="21"/>
        </w:rPr>
      </w:pPr>
      <w:r>
        <w:rPr>
          <w:rFonts w:hint="eastAsia" w:ascii="宋体" w:hAnsi="宋体"/>
          <w:b/>
          <w:szCs w:val="21"/>
        </w:rPr>
        <w:t>备注：分公司对以上信息确认填写无误，如出现问题需承担相应责任。</w:t>
      </w: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W7l30AAAAAIBAAAPAAAAAAAAAAEAIAAAACIAAABkcnMv&#10;ZG93bnJldi54bWxQSwECFAAUAAAACACHTuJAZidRm9IBAACDAwAADgAAAAAAAAABACAAAAAfAQAA&#10;ZHJzL2Uyb0RvYy54bWxQSwUGAAAAAAYABgBZAQAAYwU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一</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050" w:firstLineChars="500"/>
      <w:rPr>
        <w:sz w:val="21"/>
        <w:szCs w:val="21"/>
        <w:u w:val="single"/>
        <w:lang w:val="zh-CN"/>
      </w:rPr>
    </w:pPr>
    <w:r>
      <w:rPr>
        <w:rFonts w:hint="eastAsia"/>
        <w:sz w:val="21"/>
        <w:szCs w:val="21"/>
        <w:u w:val="single"/>
        <w:lang w:val="zh-CN"/>
      </w:rPr>
      <w:t>北京海科融通支付服务股份有限公司《银行卡收单外包服务协议》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45F43"/>
    <w:multiLevelType w:val="multilevel"/>
    <w:tmpl w:val="34445F4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4587D9"/>
    <w:multiLevelType w:val="singleLevel"/>
    <w:tmpl w:val="564587D9"/>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7C"/>
    <w:rsid w:val="00004BA5"/>
    <w:rsid w:val="000054E2"/>
    <w:rsid w:val="00006EFF"/>
    <w:rsid w:val="00007557"/>
    <w:rsid w:val="00011311"/>
    <w:rsid w:val="000121A3"/>
    <w:rsid w:val="000129BF"/>
    <w:rsid w:val="000223EE"/>
    <w:rsid w:val="00027F47"/>
    <w:rsid w:val="00041283"/>
    <w:rsid w:val="00041C60"/>
    <w:rsid w:val="00043D3B"/>
    <w:rsid w:val="00046D7D"/>
    <w:rsid w:val="00047089"/>
    <w:rsid w:val="00052F8B"/>
    <w:rsid w:val="00052F97"/>
    <w:rsid w:val="00057ABC"/>
    <w:rsid w:val="00060A4A"/>
    <w:rsid w:val="00060F15"/>
    <w:rsid w:val="00073D84"/>
    <w:rsid w:val="000761C4"/>
    <w:rsid w:val="00077E22"/>
    <w:rsid w:val="0008035C"/>
    <w:rsid w:val="00084093"/>
    <w:rsid w:val="00084DE9"/>
    <w:rsid w:val="000A1C59"/>
    <w:rsid w:val="000A23D5"/>
    <w:rsid w:val="000B0592"/>
    <w:rsid w:val="000B4636"/>
    <w:rsid w:val="000B50FB"/>
    <w:rsid w:val="000C0E42"/>
    <w:rsid w:val="000C5823"/>
    <w:rsid w:val="000D37AF"/>
    <w:rsid w:val="000E0006"/>
    <w:rsid w:val="000F1D3A"/>
    <w:rsid w:val="000F6CB6"/>
    <w:rsid w:val="00100278"/>
    <w:rsid w:val="0010587F"/>
    <w:rsid w:val="001062A9"/>
    <w:rsid w:val="00107FD9"/>
    <w:rsid w:val="00110DD4"/>
    <w:rsid w:val="00111512"/>
    <w:rsid w:val="0012002E"/>
    <w:rsid w:val="001248E4"/>
    <w:rsid w:val="00141188"/>
    <w:rsid w:val="001414F8"/>
    <w:rsid w:val="00146006"/>
    <w:rsid w:val="0014629A"/>
    <w:rsid w:val="00146798"/>
    <w:rsid w:val="00147F2E"/>
    <w:rsid w:val="00151BFC"/>
    <w:rsid w:val="00163A5B"/>
    <w:rsid w:val="00164379"/>
    <w:rsid w:val="0017058E"/>
    <w:rsid w:val="00171238"/>
    <w:rsid w:val="00172014"/>
    <w:rsid w:val="00175AC8"/>
    <w:rsid w:val="00175B84"/>
    <w:rsid w:val="001838A4"/>
    <w:rsid w:val="001849E8"/>
    <w:rsid w:val="001872C6"/>
    <w:rsid w:val="0019792C"/>
    <w:rsid w:val="001A4FC3"/>
    <w:rsid w:val="001A5ED9"/>
    <w:rsid w:val="001A7440"/>
    <w:rsid w:val="001C01EC"/>
    <w:rsid w:val="001C1FAD"/>
    <w:rsid w:val="001D0A8C"/>
    <w:rsid w:val="001D41F2"/>
    <w:rsid w:val="001D42A5"/>
    <w:rsid w:val="001D6432"/>
    <w:rsid w:val="001D7C9B"/>
    <w:rsid w:val="001E481D"/>
    <w:rsid w:val="001E5FAC"/>
    <w:rsid w:val="001F043D"/>
    <w:rsid w:val="001F40C7"/>
    <w:rsid w:val="00204AA9"/>
    <w:rsid w:val="00212072"/>
    <w:rsid w:val="00215A50"/>
    <w:rsid w:val="00222862"/>
    <w:rsid w:val="00222F45"/>
    <w:rsid w:val="00227842"/>
    <w:rsid w:val="0023296F"/>
    <w:rsid w:val="002330C8"/>
    <w:rsid w:val="002404C4"/>
    <w:rsid w:val="00243C50"/>
    <w:rsid w:val="00263F6F"/>
    <w:rsid w:val="00264177"/>
    <w:rsid w:val="002661E0"/>
    <w:rsid w:val="0026705A"/>
    <w:rsid w:val="002710ED"/>
    <w:rsid w:val="00271BC8"/>
    <w:rsid w:val="00280310"/>
    <w:rsid w:val="00283B7D"/>
    <w:rsid w:val="002856E0"/>
    <w:rsid w:val="00286950"/>
    <w:rsid w:val="002902CB"/>
    <w:rsid w:val="0029285F"/>
    <w:rsid w:val="00292BE6"/>
    <w:rsid w:val="002A0A35"/>
    <w:rsid w:val="002A5309"/>
    <w:rsid w:val="002B65E4"/>
    <w:rsid w:val="002C1BAE"/>
    <w:rsid w:val="002C3656"/>
    <w:rsid w:val="002C3A65"/>
    <w:rsid w:val="002C4F35"/>
    <w:rsid w:val="002C63C1"/>
    <w:rsid w:val="002D0E8D"/>
    <w:rsid w:val="002D3E41"/>
    <w:rsid w:val="002D5239"/>
    <w:rsid w:val="002D5330"/>
    <w:rsid w:val="002D6DC1"/>
    <w:rsid w:val="002E20CF"/>
    <w:rsid w:val="002E2485"/>
    <w:rsid w:val="002E5C19"/>
    <w:rsid w:val="002F01B5"/>
    <w:rsid w:val="002F7D8A"/>
    <w:rsid w:val="003003AF"/>
    <w:rsid w:val="00301533"/>
    <w:rsid w:val="0030609C"/>
    <w:rsid w:val="00331D7D"/>
    <w:rsid w:val="0034411B"/>
    <w:rsid w:val="003465AC"/>
    <w:rsid w:val="00351B7F"/>
    <w:rsid w:val="003619F2"/>
    <w:rsid w:val="00363276"/>
    <w:rsid w:val="00363595"/>
    <w:rsid w:val="0036669A"/>
    <w:rsid w:val="003758E3"/>
    <w:rsid w:val="00376AA3"/>
    <w:rsid w:val="00376B25"/>
    <w:rsid w:val="0037767D"/>
    <w:rsid w:val="003843EA"/>
    <w:rsid w:val="00385880"/>
    <w:rsid w:val="0039362F"/>
    <w:rsid w:val="003A3518"/>
    <w:rsid w:val="003A4A86"/>
    <w:rsid w:val="003A5092"/>
    <w:rsid w:val="003A7650"/>
    <w:rsid w:val="003B08E5"/>
    <w:rsid w:val="003B6ADB"/>
    <w:rsid w:val="003D1A5A"/>
    <w:rsid w:val="003D27AE"/>
    <w:rsid w:val="003D45F4"/>
    <w:rsid w:val="003E0E99"/>
    <w:rsid w:val="003E1B0A"/>
    <w:rsid w:val="003E1B69"/>
    <w:rsid w:val="003E2739"/>
    <w:rsid w:val="003E3071"/>
    <w:rsid w:val="003E6B23"/>
    <w:rsid w:val="003E7D27"/>
    <w:rsid w:val="003F082B"/>
    <w:rsid w:val="003F15D2"/>
    <w:rsid w:val="003F1A13"/>
    <w:rsid w:val="003F2EE4"/>
    <w:rsid w:val="004031A2"/>
    <w:rsid w:val="0040476B"/>
    <w:rsid w:val="00404F83"/>
    <w:rsid w:val="00406B85"/>
    <w:rsid w:val="00413F69"/>
    <w:rsid w:val="00421510"/>
    <w:rsid w:val="004234D9"/>
    <w:rsid w:val="00426289"/>
    <w:rsid w:val="00426B50"/>
    <w:rsid w:val="00431519"/>
    <w:rsid w:val="00432AAB"/>
    <w:rsid w:val="00433C23"/>
    <w:rsid w:val="00442840"/>
    <w:rsid w:val="00443D1E"/>
    <w:rsid w:val="004540AC"/>
    <w:rsid w:val="00457929"/>
    <w:rsid w:val="004601F5"/>
    <w:rsid w:val="004670D1"/>
    <w:rsid w:val="004672A5"/>
    <w:rsid w:val="00473D33"/>
    <w:rsid w:val="00474999"/>
    <w:rsid w:val="004761F4"/>
    <w:rsid w:val="004808B8"/>
    <w:rsid w:val="0048343D"/>
    <w:rsid w:val="00484142"/>
    <w:rsid w:val="00486EAC"/>
    <w:rsid w:val="00494BEF"/>
    <w:rsid w:val="00494F15"/>
    <w:rsid w:val="004A4CB6"/>
    <w:rsid w:val="004B1658"/>
    <w:rsid w:val="004B532F"/>
    <w:rsid w:val="004B7BBD"/>
    <w:rsid w:val="004C77A6"/>
    <w:rsid w:val="004D230E"/>
    <w:rsid w:val="004D4C30"/>
    <w:rsid w:val="004D64CF"/>
    <w:rsid w:val="004D654E"/>
    <w:rsid w:val="004D776C"/>
    <w:rsid w:val="004E0314"/>
    <w:rsid w:val="004E0440"/>
    <w:rsid w:val="004E1BA1"/>
    <w:rsid w:val="004F217D"/>
    <w:rsid w:val="0050632F"/>
    <w:rsid w:val="00510500"/>
    <w:rsid w:val="00511DC6"/>
    <w:rsid w:val="00521081"/>
    <w:rsid w:val="00521157"/>
    <w:rsid w:val="00522413"/>
    <w:rsid w:val="00523476"/>
    <w:rsid w:val="005369FD"/>
    <w:rsid w:val="00544889"/>
    <w:rsid w:val="005450E7"/>
    <w:rsid w:val="005461C5"/>
    <w:rsid w:val="00547007"/>
    <w:rsid w:val="005514A4"/>
    <w:rsid w:val="005600DF"/>
    <w:rsid w:val="005732C5"/>
    <w:rsid w:val="00575EB1"/>
    <w:rsid w:val="0058296D"/>
    <w:rsid w:val="00586190"/>
    <w:rsid w:val="005932E3"/>
    <w:rsid w:val="005A5F2A"/>
    <w:rsid w:val="005C557B"/>
    <w:rsid w:val="005C5847"/>
    <w:rsid w:val="005D18F2"/>
    <w:rsid w:val="005D4165"/>
    <w:rsid w:val="005D49A0"/>
    <w:rsid w:val="005D4D72"/>
    <w:rsid w:val="005D790A"/>
    <w:rsid w:val="005E1DA6"/>
    <w:rsid w:val="005E6151"/>
    <w:rsid w:val="005E7CE2"/>
    <w:rsid w:val="005F6F91"/>
    <w:rsid w:val="006002A2"/>
    <w:rsid w:val="00600866"/>
    <w:rsid w:val="00602768"/>
    <w:rsid w:val="00603C8D"/>
    <w:rsid w:val="006107D1"/>
    <w:rsid w:val="00612A3C"/>
    <w:rsid w:val="006147BB"/>
    <w:rsid w:val="00634C57"/>
    <w:rsid w:val="00635CB6"/>
    <w:rsid w:val="00641284"/>
    <w:rsid w:val="00661546"/>
    <w:rsid w:val="006637B7"/>
    <w:rsid w:val="006720A6"/>
    <w:rsid w:val="0067479D"/>
    <w:rsid w:val="006752EA"/>
    <w:rsid w:val="0068478E"/>
    <w:rsid w:val="006913AA"/>
    <w:rsid w:val="00693642"/>
    <w:rsid w:val="00697574"/>
    <w:rsid w:val="006A2A80"/>
    <w:rsid w:val="006A2B9C"/>
    <w:rsid w:val="006A7998"/>
    <w:rsid w:val="006B0347"/>
    <w:rsid w:val="006B5091"/>
    <w:rsid w:val="006B54AE"/>
    <w:rsid w:val="006B75EE"/>
    <w:rsid w:val="006C1FBC"/>
    <w:rsid w:val="006C6074"/>
    <w:rsid w:val="006D2029"/>
    <w:rsid w:val="006D21DF"/>
    <w:rsid w:val="006D2736"/>
    <w:rsid w:val="006D4455"/>
    <w:rsid w:val="006D58B8"/>
    <w:rsid w:val="006E64F7"/>
    <w:rsid w:val="006F0D30"/>
    <w:rsid w:val="006F7849"/>
    <w:rsid w:val="0070084C"/>
    <w:rsid w:val="00700C7D"/>
    <w:rsid w:val="00703465"/>
    <w:rsid w:val="00711A0F"/>
    <w:rsid w:val="00712C30"/>
    <w:rsid w:val="00717CF5"/>
    <w:rsid w:val="007223B1"/>
    <w:rsid w:val="00726E67"/>
    <w:rsid w:val="0072717F"/>
    <w:rsid w:val="007316F2"/>
    <w:rsid w:val="00733A3F"/>
    <w:rsid w:val="007449CC"/>
    <w:rsid w:val="0074647B"/>
    <w:rsid w:val="00752259"/>
    <w:rsid w:val="00755B98"/>
    <w:rsid w:val="00756802"/>
    <w:rsid w:val="0076063A"/>
    <w:rsid w:val="00761F47"/>
    <w:rsid w:val="0077011F"/>
    <w:rsid w:val="007816F5"/>
    <w:rsid w:val="00792C59"/>
    <w:rsid w:val="00794A69"/>
    <w:rsid w:val="007A0A4C"/>
    <w:rsid w:val="007A2633"/>
    <w:rsid w:val="007A30A1"/>
    <w:rsid w:val="007A5149"/>
    <w:rsid w:val="007A60DF"/>
    <w:rsid w:val="007A61EE"/>
    <w:rsid w:val="007B0B17"/>
    <w:rsid w:val="007B3A44"/>
    <w:rsid w:val="007B4B04"/>
    <w:rsid w:val="007B59F9"/>
    <w:rsid w:val="007B6168"/>
    <w:rsid w:val="007C2FE2"/>
    <w:rsid w:val="007C5000"/>
    <w:rsid w:val="007D460C"/>
    <w:rsid w:val="007D5847"/>
    <w:rsid w:val="007F0DDA"/>
    <w:rsid w:val="007F1E69"/>
    <w:rsid w:val="00802443"/>
    <w:rsid w:val="00803486"/>
    <w:rsid w:val="008046B8"/>
    <w:rsid w:val="00804EB9"/>
    <w:rsid w:val="0080652A"/>
    <w:rsid w:val="008079F7"/>
    <w:rsid w:val="00812519"/>
    <w:rsid w:val="00815DEA"/>
    <w:rsid w:val="00826EA2"/>
    <w:rsid w:val="00831CA4"/>
    <w:rsid w:val="00834D33"/>
    <w:rsid w:val="008453C8"/>
    <w:rsid w:val="008454BC"/>
    <w:rsid w:val="00847CFA"/>
    <w:rsid w:val="00852C73"/>
    <w:rsid w:val="008548E8"/>
    <w:rsid w:val="00856B63"/>
    <w:rsid w:val="00861A48"/>
    <w:rsid w:val="00865DB4"/>
    <w:rsid w:val="00873731"/>
    <w:rsid w:val="00874F32"/>
    <w:rsid w:val="00875225"/>
    <w:rsid w:val="00875D85"/>
    <w:rsid w:val="008778EA"/>
    <w:rsid w:val="00887732"/>
    <w:rsid w:val="00893164"/>
    <w:rsid w:val="008948B4"/>
    <w:rsid w:val="00894FB8"/>
    <w:rsid w:val="00896A19"/>
    <w:rsid w:val="00897BE1"/>
    <w:rsid w:val="008A73F4"/>
    <w:rsid w:val="008A7945"/>
    <w:rsid w:val="008B0254"/>
    <w:rsid w:val="008B32BE"/>
    <w:rsid w:val="008C2119"/>
    <w:rsid w:val="008C2E49"/>
    <w:rsid w:val="008D0731"/>
    <w:rsid w:val="008D0A3D"/>
    <w:rsid w:val="008D1187"/>
    <w:rsid w:val="008D51CF"/>
    <w:rsid w:val="008D7F93"/>
    <w:rsid w:val="008E2339"/>
    <w:rsid w:val="008E4852"/>
    <w:rsid w:val="008F077F"/>
    <w:rsid w:val="008F0794"/>
    <w:rsid w:val="008F49DE"/>
    <w:rsid w:val="008F6E8F"/>
    <w:rsid w:val="00902510"/>
    <w:rsid w:val="00903B5D"/>
    <w:rsid w:val="00906E89"/>
    <w:rsid w:val="00907D62"/>
    <w:rsid w:val="00910C5B"/>
    <w:rsid w:val="00911589"/>
    <w:rsid w:val="009134C9"/>
    <w:rsid w:val="00922DE3"/>
    <w:rsid w:val="0092321F"/>
    <w:rsid w:val="00923E64"/>
    <w:rsid w:val="00925772"/>
    <w:rsid w:val="00925A7F"/>
    <w:rsid w:val="009322F2"/>
    <w:rsid w:val="00935791"/>
    <w:rsid w:val="009375B3"/>
    <w:rsid w:val="00937838"/>
    <w:rsid w:val="0097156B"/>
    <w:rsid w:val="009718D2"/>
    <w:rsid w:val="00991296"/>
    <w:rsid w:val="0099781F"/>
    <w:rsid w:val="009A5C5E"/>
    <w:rsid w:val="009B429E"/>
    <w:rsid w:val="009C1607"/>
    <w:rsid w:val="009C4AC8"/>
    <w:rsid w:val="009C51BB"/>
    <w:rsid w:val="009D3C4C"/>
    <w:rsid w:val="009D7496"/>
    <w:rsid w:val="009E228C"/>
    <w:rsid w:val="009E23C8"/>
    <w:rsid w:val="009E2A31"/>
    <w:rsid w:val="009E396C"/>
    <w:rsid w:val="009E438A"/>
    <w:rsid w:val="009E7318"/>
    <w:rsid w:val="009F4818"/>
    <w:rsid w:val="00A049FC"/>
    <w:rsid w:val="00A058D8"/>
    <w:rsid w:val="00A07BEC"/>
    <w:rsid w:val="00A17F22"/>
    <w:rsid w:val="00A271F9"/>
    <w:rsid w:val="00A43AF9"/>
    <w:rsid w:val="00A43FD6"/>
    <w:rsid w:val="00A46B77"/>
    <w:rsid w:val="00A50823"/>
    <w:rsid w:val="00A50A3C"/>
    <w:rsid w:val="00A529C3"/>
    <w:rsid w:val="00A609BB"/>
    <w:rsid w:val="00A646F7"/>
    <w:rsid w:val="00A65591"/>
    <w:rsid w:val="00A7110C"/>
    <w:rsid w:val="00A728BC"/>
    <w:rsid w:val="00A7545D"/>
    <w:rsid w:val="00A75EAC"/>
    <w:rsid w:val="00A8250B"/>
    <w:rsid w:val="00A8529A"/>
    <w:rsid w:val="00A94F51"/>
    <w:rsid w:val="00A96A9F"/>
    <w:rsid w:val="00AA7C5E"/>
    <w:rsid w:val="00AB50F9"/>
    <w:rsid w:val="00AB68B9"/>
    <w:rsid w:val="00AB6DB0"/>
    <w:rsid w:val="00AC27C5"/>
    <w:rsid w:val="00AC6F22"/>
    <w:rsid w:val="00AC74FF"/>
    <w:rsid w:val="00AC7F05"/>
    <w:rsid w:val="00AD00D6"/>
    <w:rsid w:val="00AD3F55"/>
    <w:rsid w:val="00AD4025"/>
    <w:rsid w:val="00AD6590"/>
    <w:rsid w:val="00AE4C06"/>
    <w:rsid w:val="00AF1155"/>
    <w:rsid w:val="00AF195D"/>
    <w:rsid w:val="00AF5454"/>
    <w:rsid w:val="00B017A4"/>
    <w:rsid w:val="00B102BF"/>
    <w:rsid w:val="00B10691"/>
    <w:rsid w:val="00B108E6"/>
    <w:rsid w:val="00B115B1"/>
    <w:rsid w:val="00B15ED5"/>
    <w:rsid w:val="00B21CC3"/>
    <w:rsid w:val="00B22F45"/>
    <w:rsid w:val="00B23400"/>
    <w:rsid w:val="00B31059"/>
    <w:rsid w:val="00B361DF"/>
    <w:rsid w:val="00B36BA8"/>
    <w:rsid w:val="00B36E80"/>
    <w:rsid w:val="00B40C02"/>
    <w:rsid w:val="00B41BED"/>
    <w:rsid w:val="00B42C9F"/>
    <w:rsid w:val="00B47804"/>
    <w:rsid w:val="00B61B52"/>
    <w:rsid w:val="00B6409F"/>
    <w:rsid w:val="00B64AF0"/>
    <w:rsid w:val="00B6552D"/>
    <w:rsid w:val="00B70981"/>
    <w:rsid w:val="00B81A45"/>
    <w:rsid w:val="00B82CCF"/>
    <w:rsid w:val="00B83A9B"/>
    <w:rsid w:val="00B928F8"/>
    <w:rsid w:val="00B93033"/>
    <w:rsid w:val="00B94432"/>
    <w:rsid w:val="00BA0A9A"/>
    <w:rsid w:val="00BA18C6"/>
    <w:rsid w:val="00BA5E68"/>
    <w:rsid w:val="00BA78A5"/>
    <w:rsid w:val="00BA7CD1"/>
    <w:rsid w:val="00BB23B5"/>
    <w:rsid w:val="00BB73F4"/>
    <w:rsid w:val="00BC7536"/>
    <w:rsid w:val="00BD2CAB"/>
    <w:rsid w:val="00BE1023"/>
    <w:rsid w:val="00BE2608"/>
    <w:rsid w:val="00BE56DD"/>
    <w:rsid w:val="00BF232E"/>
    <w:rsid w:val="00BF23C0"/>
    <w:rsid w:val="00BF3126"/>
    <w:rsid w:val="00C04AEF"/>
    <w:rsid w:val="00C12A0A"/>
    <w:rsid w:val="00C16849"/>
    <w:rsid w:val="00C22355"/>
    <w:rsid w:val="00C2459D"/>
    <w:rsid w:val="00C271A3"/>
    <w:rsid w:val="00C30E74"/>
    <w:rsid w:val="00C3179D"/>
    <w:rsid w:val="00C33085"/>
    <w:rsid w:val="00C33A40"/>
    <w:rsid w:val="00C350E5"/>
    <w:rsid w:val="00C36F37"/>
    <w:rsid w:val="00C40903"/>
    <w:rsid w:val="00C40957"/>
    <w:rsid w:val="00C44276"/>
    <w:rsid w:val="00C45743"/>
    <w:rsid w:val="00C471A0"/>
    <w:rsid w:val="00C47A51"/>
    <w:rsid w:val="00C51AB1"/>
    <w:rsid w:val="00C55736"/>
    <w:rsid w:val="00C566F8"/>
    <w:rsid w:val="00C622C0"/>
    <w:rsid w:val="00C70F44"/>
    <w:rsid w:val="00C72058"/>
    <w:rsid w:val="00C77B83"/>
    <w:rsid w:val="00C814AB"/>
    <w:rsid w:val="00C858C0"/>
    <w:rsid w:val="00C8736F"/>
    <w:rsid w:val="00C87BEB"/>
    <w:rsid w:val="00CA53F3"/>
    <w:rsid w:val="00CA669A"/>
    <w:rsid w:val="00CB4CF5"/>
    <w:rsid w:val="00CB5754"/>
    <w:rsid w:val="00CB5CFD"/>
    <w:rsid w:val="00CD0D41"/>
    <w:rsid w:val="00CD6DAF"/>
    <w:rsid w:val="00CE0D14"/>
    <w:rsid w:val="00CF312E"/>
    <w:rsid w:val="00CF4850"/>
    <w:rsid w:val="00D01178"/>
    <w:rsid w:val="00D13C4D"/>
    <w:rsid w:val="00D161B6"/>
    <w:rsid w:val="00D17DE3"/>
    <w:rsid w:val="00D20639"/>
    <w:rsid w:val="00D301C4"/>
    <w:rsid w:val="00D31DBA"/>
    <w:rsid w:val="00D3211B"/>
    <w:rsid w:val="00D3314C"/>
    <w:rsid w:val="00D35F32"/>
    <w:rsid w:val="00D36D18"/>
    <w:rsid w:val="00D36E17"/>
    <w:rsid w:val="00D477DF"/>
    <w:rsid w:val="00D47923"/>
    <w:rsid w:val="00D50DF9"/>
    <w:rsid w:val="00D51E05"/>
    <w:rsid w:val="00D53906"/>
    <w:rsid w:val="00D54923"/>
    <w:rsid w:val="00D56105"/>
    <w:rsid w:val="00D6015D"/>
    <w:rsid w:val="00D6332E"/>
    <w:rsid w:val="00D6652A"/>
    <w:rsid w:val="00D84CE5"/>
    <w:rsid w:val="00D85345"/>
    <w:rsid w:val="00D87FDB"/>
    <w:rsid w:val="00D92D72"/>
    <w:rsid w:val="00D93CF5"/>
    <w:rsid w:val="00D95A41"/>
    <w:rsid w:val="00D95CCD"/>
    <w:rsid w:val="00DA37DE"/>
    <w:rsid w:val="00DA418B"/>
    <w:rsid w:val="00DA56A6"/>
    <w:rsid w:val="00DB3071"/>
    <w:rsid w:val="00DB7C84"/>
    <w:rsid w:val="00DC30D2"/>
    <w:rsid w:val="00DC4FCA"/>
    <w:rsid w:val="00DC5F3F"/>
    <w:rsid w:val="00DD435A"/>
    <w:rsid w:val="00DD4E0D"/>
    <w:rsid w:val="00DD529D"/>
    <w:rsid w:val="00DE349D"/>
    <w:rsid w:val="00DE7DBE"/>
    <w:rsid w:val="00DF2F32"/>
    <w:rsid w:val="00DF3637"/>
    <w:rsid w:val="00DF6EEC"/>
    <w:rsid w:val="00E03A23"/>
    <w:rsid w:val="00E045FC"/>
    <w:rsid w:val="00E07AA3"/>
    <w:rsid w:val="00E13BDB"/>
    <w:rsid w:val="00E1497C"/>
    <w:rsid w:val="00E31251"/>
    <w:rsid w:val="00E4180C"/>
    <w:rsid w:val="00E42FB4"/>
    <w:rsid w:val="00E43CBB"/>
    <w:rsid w:val="00E448AA"/>
    <w:rsid w:val="00E450FC"/>
    <w:rsid w:val="00E469E7"/>
    <w:rsid w:val="00E474F4"/>
    <w:rsid w:val="00E510E0"/>
    <w:rsid w:val="00E514D3"/>
    <w:rsid w:val="00E53B8D"/>
    <w:rsid w:val="00E5451D"/>
    <w:rsid w:val="00E61F6E"/>
    <w:rsid w:val="00E67577"/>
    <w:rsid w:val="00E70C29"/>
    <w:rsid w:val="00E71E93"/>
    <w:rsid w:val="00E73544"/>
    <w:rsid w:val="00E73B9C"/>
    <w:rsid w:val="00E74417"/>
    <w:rsid w:val="00E7646A"/>
    <w:rsid w:val="00E77CC4"/>
    <w:rsid w:val="00E84579"/>
    <w:rsid w:val="00E9413E"/>
    <w:rsid w:val="00E94C44"/>
    <w:rsid w:val="00E94EB7"/>
    <w:rsid w:val="00EA22DD"/>
    <w:rsid w:val="00EA4580"/>
    <w:rsid w:val="00EB1CFD"/>
    <w:rsid w:val="00ED18C9"/>
    <w:rsid w:val="00ED5A49"/>
    <w:rsid w:val="00EE0269"/>
    <w:rsid w:val="00EE4818"/>
    <w:rsid w:val="00EE5597"/>
    <w:rsid w:val="00EE6A95"/>
    <w:rsid w:val="00EF177C"/>
    <w:rsid w:val="00EF48BE"/>
    <w:rsid w:val="00F01ABD"/>
    <w:rsid w:val="00F03DA5"/>
    <w:rsid w:val="00F06D0B"/>
    <w:rsid w:val="00F077A3"/>
    <w:rsid w:val="00F12D4C"/>
    <w:rsid w:val="00F12DC8"/>
    <w:rsid w:val="00F145ED"/>
    <w:rsid w:val="00F164EE"/>
    <w:rsid w:val="00F25191"/>
    <w:rsid w:val="00F35FB9"/>
    <w:rsid w:val="00F40E76"/>
    <w:rsid w:val="00F5542D"/>
    <w:rsid w:val="00F554DF"/>
    <w:rsid w:val="00F61047"/>
    <w:rsid w:val="00F7280B"/>
    <w:rsid w:val="00F87053"/>
    <w:rsid w:val="00F954C5"/>
    <w:rsid w:val="00FA1860"/>
    <w:rsid w:val="00FA1DB7"/>
    <w:rsid w:val="00FA6CE8"/>
    <w:rsid w:val="00FA791E"/>
    <w:rsid w:val="00FB0528"/>
    <w:rsid w:val="00FB25A9"/>
    <w:rsid w:val="00FB305A"/>
    <w:rsid w:val="00FB6115"/>
    <w:rsid w:val="00FB6479"/>
    <w:rsid w:val="00FC2487"/>
    <w:rsid w:val="00FC2D28"/>
    <w:rsid w:val="00FC4D33"/>
    <w:rsid w:val="00FD2AEB"/>
    <w:rsid w:val="00FD3C38"/>
    <w:rsid w:val="00FD6425"/>
    <w:rsid w:val="00FD70FD"/>
    <w:rsid w:val="00FD7F0C"/>
    <w:rsid w:val="00FE0FFD"/>
    <w:rsid w:val="00FE2757"/>
    <w:rsid w:val="00FE2B4B"/>
    <w:rsid w:val="00FF3C9A"/>
    <w:rsid w:val="00FF7D57"/>
    <w:rsid w:val="046670D7"/>
    <w:rsid w:val="09D45D93"/>
    <w:rsid w:val="0C440D69"/>
    <w:rsid w:val="0E3B5A1F"/>
    <w:rsid w:val="12336E31"/>
    <w:rsid w:val="12A470A8"/>
    <w:rsid w:val="19D439FD"/>
    <w:rsid w:val="256D13E3"/>
    <w:rsid w:val="264B7BB1"/>
    <w:rsid w:val="2AB567AF"/>
    <w:rsid w:val="2B9832F3"/>
    <w:rsid w:val="2DE2535F"/>
    <w:rsid w:val="30905E99"/>
    <w:rsid w:val="334C1785"/>
    <w:rsid w:val="36CD551D"/>
    <w:rsid w:val="3A3F503B"/>
    <w:rsid w:val="40785036"/>
    <w:rsid w:val="40DB062E"/>
    <w:rsid w:val="413E4353"/>
    <w:rsid w:val="43FD21E8"/>
    <w:rsid w:val="44684A01"/>
    <w:rsid w:val="4DAE73B2"/>
    <w:rsid w:val="4E29020C"/>
    <w:rsid w:val="4F6D10FE"/>
    <w:rsid w:val="51952FD2"/>
    <w:rsid w:val="53DF0D2C"/>
    <w:rsid w:val="571C235C"/>
    <w:rsid w:val="5F2F4F90"/>
    <w:rsid w:val="62D857A0"/>
    <w:rsid w:val="65B07E96"/>
    <w:rsid w:val="67966438"/>
    <w:rsid w:val="67DA2C93"/>
    <w:rsid w:val="67FF7A69"/>
    <w:rsid w:val="69666635"/>
    <w:rsid w:val="69B442E4"/>
    <w:rsid w:val="6B920F5E"/>
    <w:rsid w:val="6C9C0398"/>
    <w:rsid w:val="6D0F1E79"/>
    <w:rsid w:val="6E501896"/>
    <w:rsid w:val="6F817B0F"/>
    <w:rsid w:val="71EC0626"/>
    <w:rsid w:val="733E0648"/>
    <w:rsid w:val="77A81DA3"/>
    <w:rsid w:val="7CEF050E"/>
    <w:rsid w:val="7E482A58"/>
    <w:rsid w:val="7F11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725E3-683D-574C-B1A7-F1B2D628288F}">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2263</Words>
  <Characters>12901</Characters>
  <Lines>107</Lines>
  <Paragraphs>30</Paragraphs>
  <TotalTime>98</TotalTime>
  <ScaleCrop>false</ScaleCrop>
  <LinksUpToDate>false</LinksUpToDate>
  <CharactersWithSpaces>15134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2019-12-30T06:15:00Z</dcterms:created>
  <dc:creator>梅</dc:creator>
  <cp:lastModifiedBy>梅</cp:lastModifiedBy>
  <cp:lastPrinted>2019-12-30T08:29:00Z</cp:lastPrinted>
  <dcterms:modified xsi:type="dcterms:W3CDTF">2020-01-06T03:22:16Z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